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C192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2"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lang w:eastAsia="zh-CN"/>
        </w:rPr>
      </w:pP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三亚市</w:t>
      </w: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rPr>
        <w:t>天涯区物业服务企业和物业经理人信用信息管理（暂行）办法</w:t>
      </w: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eastAsia="zh-CN"/>
        </w:rPr>
        <w:t>（</w:t>
      </w: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征求意见稿</w:t>
      </w: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eastAsia="zh-CN"/>
        </w:rPr>
        <w:t>）</w:t>
      </w:r>
    </w:p>
    <w:p w14:paraId="03166F2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24"/>
          <w:szCs w:val="24"/>
          <w:shd w:val="clear" w:fill="FFFFFF"/>
        </w:rPr>
      </w:pPr>
    </w:p>
    <w:p w14:paraId="469E008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第一章 总则</w:t>
      </w:r>
      <w:bookmarkStart w:id="0" w:name="_GoBack"/>
      <w:bookmarkEnd w:id="0"/>
    </w:p>
    <w:p w14:paraId="12E9DBD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第一条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为规范天涯区物业服务市场秩序，建立健全以信用为核心的新型监管机制，营造法治化、便利化营商环境，促进物业服务行业高质量发展，根据《中共中央办公厅国务院办公厅关于推进社会信用体系建设高质量发展促进形成新发展格局的意见》等国家政策精神，以及《海南自由贸易港社会信用条例》《物业管理条例》《海南经济特区物业管理条例》等规定，结合天涯区住房和城乡建设局、天涯区营商环境建设局相关职责，制定本办法。</w:t>
      </w:r>
    </w:p>
    <w:p w14:paraId="4C509E7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第二条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本办法适用于天涯区行政区域内从事物业服务活动的企业及其项目负责人（以下简称“物业经理人”）的信用信息采集、归集、评价、应用、共享和监督管理等活动。</w:t>
      </w:r>
    </w:p>
    <w:p w14:paraId="53D4664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第三条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本办法所称物业服务企业，是指在天涯区行政区域内提供物业服务并依法登记注册的企业法人及其分支机构。本办法所称物业经理人，是指由物业服务企业指派，全面负责单个物业服务项目运营管理的项目负责人。</w:t>
      </w:r>
      <w:r>
        <w:rPr>
          <w:rFonts w:hint="eastAsia" w:ascii="仿宋_GB2312" w:hAnsi="仿宋_GB2312" w:eastAsia="仿宋_GB2312" w:cs="仿宋_GB2312"/>
          <w:i w:val="0"/>
          <w:iCs w:val="0"/>
          <w:caps w:val="0"/>
          <w:color w:val="0F1115"/>
          <w:spacing w:val="0"/>
          <w:sz w:val="32"/>
          <w:szCs w:val="32"/>
          <w:shd w:val="clear" w:fill="FFFFFF"/>
        </w:rPr>
        <w:br w:type="textWrapping"/>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本办法所称信用信息，是指可用于识别、分析、判断物业服务企业及物业经理人遵守法律法规、履行合同约定、践行社会责任状况的客观数据和资料。</w:t>
      </w:r>
    </w:p>
    <w:p w14:paraId="3761C6B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第四条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信用信息管理遵循合法、客观、公正、审慎、及时的原则，维护信息主体合法权益，不得泄露国家秘密、商业秘密和个人隐私，任何单位和个人不得非法使用信用信息。</w:t>
      </w:r>
    </w:p>
    <w:p w14:paraId="4CDC3B2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第五条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建立由天涯区住房和城乡建设局（以下简称“区住建局”）与天涯区营商环境建设局（以下简称“区营商局”）协同管理的联合工作机制，共同负责信用信息的认定、记分、归档及应用。双方应建立联合确认与定期会商机制，保障工作的协同性与权威性。具体职责如下：</w:t>
      </w:r>
    </w:p>
    <w:p w14:paraId="086E1AC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区住建局作为行业主管部门，履行以下主要职责：</w:t>
      </w:r>
    </w:p>
    <w:p w14:paraId="396ED4B5">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72"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负责对全区物业服务活动实施日常监督管理；</w:t>
      </w:r>
    </w:p>
    <w:p w14:paraId="0E327C89">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牵头负责物业服务行业信用体系建设的业务指导与规范制定；</w:t>
      </w:r>
    </w:p>
    <w:p w14:paraId="519101A2">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依据日常监管、行政检查、投诉处理、合同履行评估等结果，对信用信息（特别是失信信息）进行调查、核实，并作出认定意见与记分决定；</w:t>
      </w:r>
    </w:p>
    <w:p w14:paraId="32E277E9">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负责物业服务企业及物业经理人信用档案的建立、维护与管理；</w:t>
      </w:r>
    </w:p>
    <w:p w14:paraId="34FC52DD">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负责信用信息的记录、归档，以及评价结果的统一公示；</w:t>
      </w:r>
    </w:p>
    <w:p w14:paraId="3A8BB5C5">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负责组织实施针对信用主体的行业性激励与惩戒措施；</w:t>
      </w:r>
    </w:p>
    <w:p w14:paraId="7C044DA1">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72" w:lineRule="exact"/>
        <w:ind w:leftChars="0" w:right="0" w:rightChars="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（七）负责将严重失信主体名单及失信信息按规定报送市级相关主管部门；</w:t>
      </w:r>
    </w:p>
    <w:p w14:paraId="75780AA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区营商局作为全区社会信用体系建设的统筹协调部门，履行以下主要职责：</w:t>
      </w:r>
    </w:p>
    <w:p w14:paraId="6D0F93AE">
      <w:pPr>
        <w:pStyle w:val="4"/>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72"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对区住建局开展物业服务行业信用管理工作提供政策指导和专业支持；</w:t>
      </w:r>
    </w:p>
    <w:p w14:paraId="75458D1C">
      <w:pPr>
        <w:pStyle w:val="4"/>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对区住建局提出的信用信息认定意见及记分建议，进行程序性复核，确保信息形式合规、依据充分、程序正当；对于存疑或重大的信用信息，由两部门召开联席会议进行共同会商与审定。双方应确保信用管理工作全程留痕、数据互通、结论互认。</w:t>
      </w:r>
    </w:p>
    <w:p w14:paraId="1E082AD6">
      <w:pPr>
        <w:pStyle w:val="4"/>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推动与相关职能部门的信息共享与业务协同</w:t>
      </w:r>
    </w:p>
    <w:p w14:paraId="0354AE91">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72" w:lineRule="exact"/>
        <w:ind w:right="0" w:rightChars="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eastAsia="zh-CN"/>
        </w:rPr>
        <w:t>（四）</w:t>
      </w:r>
      <w:r>
        <w:rPr>
          <w:rFonts w:hint="eastAsia" w:ascii="仿宋_GB2312" w:hAnsi="仿宋_GB2312" w:eastAsia="仿宋_GB2312" w:cs="仿宋_GB2312"/>
          <w:i w:val="0"/>
          <w:iCs w:val="0"/>
          <w:caps w:val="0"/>
          <w:color w:val="auto"/>
          <w:spacing w:val="0"/>
          <w:sz w:val="32"/>
          <w:szCs w:val="32"/>
          <w:shd w:val="clear" w:fill="FFFFFF"/>
        </w:rPr>
        <w:t>结合区营商局职能，其他需要配合协助事项。</w:t>
      </w:r>
    </w:p>
    <w:p w14:paraId="35ED004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第二章 信用信息构成与归集</w:t>
      </w:r>
    </w:p>
    <w:p w14:paraId="2D86D3A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第六条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信用信息由基础信息、履约信息、优良信息和失信信息四部分构成。</w:t>
      </w:r>
    </w:p>
    <w:p w14:paraId="1D3B27D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基础信息主要包括企业及物业经理人的身份资质、管理项目概况、从业人员配备及专业技术人员持证情况等。</w:t>
      </w:r>
      <w:r>
        <w:rPr>
          <w:rFonts w:hint="eastAsia" w:ascii="仿宋_GB2312" w:hAnsi="仿宋_GB2312" w:eastAsia="仿宋_GB2312" w:cs="仿宋_GB2312"/>
          <w:i w:val="0"/>
          <w:iCs w:val="0"/>
          <w:caps w:val="0"/>
          <w:color w:val="0F1115"/>
          <w:spacing w:val="0"/>
          <w:sz w:val="32"/>
          <w:szCs w:val="32"/>
          <w:shd w:val="clear" w:fill="FFFFFF"/>
        </w:rPr>
        <w:br w:type="textWrapping"/>
      </w:r>
      <w:r>
        <w:rPr>
          <w:rFonts w:hint="eastAsia" w:ascii="仿宋_GB2312" w:hAnsi="仿宋_GB2312" w:eastAsia="仿宋_GB2312" w:cs="仿宋_GB2312"/>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履约信息主要包括物业服务合同的关键内容、项目负责人信息、主要服务标准与承诺，以及物业服务企业履行物业服务合同的实际情况记录。</w:t>
      </w:r>
    </w:p>
    <w:p w14:paraId="2855BBD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优良信息主要包括获得区级以上人民政府或市级以上物业管理行业协会的表彰奖励、在应急抢险、社会公益等活动中有突出表现、以及经区住建局认定的其他良好行为记录。</w:t>
      </w:r>
    </w:p>
    <w:p w14:paraId="5A9070F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失信信息是指经区住建局会同区营商局依法共同认定并记分的违反相关法律法规、规章及行业规范、合同约定等行为的信息。</w:t>
      </w:r>
    </w:p>
    <w:p w14:paraId="440ADB8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第七条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信用信息由区住建局统一归集与管理。物业服务企业及物业经理人应当主动向区住建局报送基础信息、合同信息及自主申报的优良信息。区住建局在日常监管、行政检查、投诉处理、专项检查及合同履行情况评估中产生的信用信息，应当及时记录并归档。区营商局根据区住建局需求，协调市场监管、综合行政执法、公安、消防、应急管理等其他行政部门，通过公文交换等方式，提供涉及物业服务企业的行政许可、行政处罚、抽查检查等信用信息。</w:t>
      </w:r>
    </w:p>
    <w:p w14:paraId="1BC4327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第三章 信用评价、分类与应用</w:t>
      </w:r>
    </w:p>
    <w:p w14:paraId="3DA066E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第八条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对物业服务企业及物业经理人实施信用评价。具体的评价指标、计分规则、等级划分及联动机制，由区住建局会同区营商局依据本办法附件《</w:t>
      </w:r>
      <w:r>
        <w:rPr>
          <w:rFonts w:hint="eastAsia" w:ascii="仿宋_GB2312" w:hAnsi="仿宋_GB2312" w:eastAsia="仿宋_GB2312" w:cs="仿宋_GB2312"/>
          <w:i w:val="0"/>
          <w:iCs w:val="0"/>
          <w:caps w:val="0"/>
          <w:color w:val="0F1115"/>
          <w:spacing w:val="0"/>
          <w:sz w:val="32"/>
          <w:szCs w:val="32"/>
          <w:shd w:val="clear" w:fill="FFFFFF"/>
          <w:lang w:val="en-US" w:eastAsia="zh-CN"/>
        </w:rPr>
        <w:t>三亚市</w:t>
      </w:r>
      <w:r>
        <w:rPr>
          <w:rFonts w:hint="eastAsia" w:ascii="仿宋_GB2312" w:hAnsi="仿宋_GB2312" w:eastAsia="仿宋_GB2312" w:cs="仿宋_GB2312"/>
          <w:i w:val="0"/>
          <w:iCs w:val="0"/>
          <w:caps w:val="0"/>
          <w:color w:val="0F1115"/>
          <w:spacing w:val="0"/>
          <w:sz w:val="32"/>
          <w:szCs w:val="32"/>
          <w:shd w:val="clear" w:fill="FFFFFF"/>
        </w:rPr>
        <w:t>天涯区物业服务企业及物业经理人信用评价指标及记分标准》制定并动态调整，该附件为本办法的组成部分。评价工作由两部门共同组织实施，评价结果经联合确认后生效。本办法第十三条所列严重失信行为的认定标准、记分规则及相应惩戒措施，由附件予以细化规定。</w:t>
      </w:r>
    </w:p>
    <w:p w14:paraId="66270B3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第九条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依据信用评价综合得分，将物业服务企业的信用等级划分为五级：A级（优秀）、B级（良好）、C级（中等）、D级（较差）、E级（差）。各等级对应的分值区间由本办法附件具体规定。</w:t>
      </w:r>
    </w:p>
    <w:p w14:paraId="6282A86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第十条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对物业经理人实行信用积分管理，并依据年度累计积分划定信用等级，可分为优秀、良好、合格、关注、失信等层级。具体等级标准与积分对应关系由本办法附件具体规定。</w:t>
      </w:r>
    </w:p>
    <w:p w14:paraId="7332A8F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第十一条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对信用等级评定为A级的物业服务企业及信用等级为“优秀”的物业经理人，可享受以下激励措施：在物业项目招标投标、行业评优表彰活动中予以优先推荐或加分；在符合法定条件下，适当降低日常检查频次，推行以远程监管、预警防控为主的非现场监管。同时，区营商局协调相关政务服务部门，为守信主体在办理行政审批、公共服务等事项时提供“绿色通道”、容缺受理、告知承诺等便利化服务措施，并在区政府门户网站及相关政务公开渠道进行公示推介。</w:t>
      </w:r>
    </w:p>
    <w:p w14:paraId="4B4DAFC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第十二条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物业服务企业及物业经理人的失信行为，由区住建局依据本办法附件所列标准进行调查、提出初步认定和记分建议，经与区营商局会商确认后执行。根据失信行为的严重程度和记分累计值，实施分级分类惩戒。</w:t>
      </w:r>
    </w:p>
    <w:p w14:paraId="21E05E2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对于物业服务企业：记分累计达到相应阈值的，分别采取由区住建局予以书面警示、约谈企业法定代表人、列为重点监管对象增加检查频次、依法从重处理并向业主组织提出监管建议等措施。</w:t>
      </w:r>
    </w:p>
    <w:p w14:paraId="5807DEC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对于物业经理人：记分累计达到相应阈值的，分别采取由区住建局予以书面警示并告知所属企业、约谈告诫、列为个人重点监管对象、要求参加信用合规培训等措施，并可建议其所属企业予以岗位调整。</w:t>
      </w:r>
    </w:p>
    <w:p w14:paraId="0B75981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0" w:firstLineChars="20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具体惩戒措施的分级与实施程序由本办法附件详细规定。</w:t>
      </w:r>
    </w:p>
    <w:p w14:paraId="08B04AB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第十三条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物业服务企业及物业经理人有下列情形之一的，一经查实，由两部门共同审定后直接将其信用等级降为E级或列入严重失信名单：在信用信息申报或评定中故意提供虚假材料，情节严重的；未按照合同约定履行服务职责或擅自停止服务，严重损害业主权益，造成恶劣影响的；挪用、侵占、骗取住宅专项维修资金、公共收益的；因企业或个人主要责任发生重大安全、消防责任事故的；因物业服务纠纷处置不当，引发群体性事件并造成恶劣社会影响，经区级以上人民政府或相关部门认定的；存在本办法附件规定的其他直接定性为严重失信的情形。</w:t>
      </w:r>
    </w:p>
    <w:p w14:paraId="6ED9947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第十四条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对认定为严重失信主体（E级）的物业服务企业及列入严重失信名单的物业经理人，除行业内部惩戒外，区住建局应当将其名单及失信信息按规定报送市级相关主管部门。同时，依据法律、法规及国家、本省有关规定，区住建局</w:t>
      </w:r>
      <w:r>
        <w:rPr>
          <w:rFonts w:hint="eastAsia" w:ascii="仿宋_GB2312" w:hAnsi="仿宋_GB2312" w:eastAsia="仿宋_GB2312" w:cs="仿宋_GB2312"/>
          <w:i w:val="0"/>
          <w:iCs w:val="0"/>
          <w:caps w:val="0"/>
          <w:color w:val="0F1115"/>
          <w:spacing w:val="0"/>
          <w:sz w:val="32"/>
          <w:szCs w:val="32"/>
          <w:shd w:val="clear" w:fill="FFFFFF"/>
          <w:lang w:eastAsia="zh-CN"/>
        </w:rPr>
        <w:t>、营商局</w:t>
      </w:r>
      <w:r>
        <w:rPr>
          <w:rFonts w:hint="eastAsia" w:ascii="仿宋_GB2312" w:hAnsi="仿宋_GB2312" w:eastAsia="仿宋_GB2312" w:cs="仿宋_GB2312"/>
          <w:i w:val="0"/>
          <w:iCs w:val="0"/>
          <w:caps w:val="0"/>
          <w:color w:val="0F1115"/>
          <w:spacing w:val="0"/>
          <w:sz w:val="32"/>
          <w:szCs w:val="32"/>
          <w:shd w:val="clear" w:fill="FFFFFF"/>
        </w:rPr>
        <w:t>可会同区发改、市场监管、财政、税务、金融等相关部门，依法在市场准入、招标投标、融资信贷、政策扶持、评优评先等方面对相关企业及个人实施联合惩戒。</w:t>
      </w:r>
    </w:p>
    <w:p w14:paraId="27D516E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第四章 权益保护与监督管理</w:t>
      </w:r>
    </w:p>
    <w:p w14:paraId="4DFBAC2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第十五条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区住建局对物业服务企业或物业经理人作出失信记分决定</w:t>
      </w:r>
      <w:r>
        <w:rPr>
          <w:rFonts w:hint="eastAsia" w:ascii="仿宋_GB2312" w:hAnsi="仿宋_GB2312" w:eastAsia="仿宋_GB2312" w:cs="仿宋_GB2312"/>
          <w:i w:val="0"/>
          <w:iCs w:val="0"/>
          <w:caps w:val="0"/>
          <w:color w:val="0F1115"/>
          <w:spacing w:val="0"/>
          <w:sz w:val="32"/>
          <w:szCs w:val="32"/>
          <w:shd w:val="clear" w:fill="FFFFFF"/>
          <w:lang w:val="en-US" w:eastAsia="zh-CN"/>
        </w:rPr>
        <w:t>前</w:t>
      </w:r>
      <w:r>
        <w:rPr>
          <w:rFonts w:hint="eastAsia" w:ascii="仿宋_GB2312" w:hAnsi="仿宋_GB2312" w:eastAsia="仿宋_GB2312" w:cs="仿宋_GB2312"/>
          <w:i w:val="0"/>
          <w:iCs w:val="0"/>
          <w:caps w:val="0"/>
          <w:color w:val="0F1115"/>
          <w:spacing w:val="0"/>
          <w:sz w:val="32"/>
          <w:szCs w:val="32"/>
          <w:shd w:val="clear" w:fill="FFFFFF"/>
        </w:rPr>
        <w:t>，应当以书面形式告知相关主体记分事由、依据及享有的</w:t>
      </w:r>
      <w:r>
        <w:rPr>
          <w:rFonts w:hint="eastAsia" w:ascii="仿宋_GB2312" w:hAnsi="仿宋_GB2312" w:eastAsia="仿宋_GB2312" w:cs="仿宋_GB2312"/>
          <w:i w:val="0"/>
          <w:iCs w:val="0"/>
          <w:caps w:val="0"/>
          <w:color w:val="0F1115"/>
          <w:spacing w:val="0"/>
          <w:sz w:val="32"/>
          <w:szCs w:val="32"/>
          <w:shd w:val="clear" w:fill="FFFFFF"/>
          <w:lang w:val="en-US" w:eastAsia="zh-CN"/>
        </w:rPr>
        <w:t>陈述申辩</w:t>
      </w:r>
      <w:r>
        <w:rPr>
          <w:rFonts w:hint="eastAsia" w:ascii="仿宋_GB2312" w:hAnsi="仿宋_GB2312" w:eastAsia="仿宋_GB2312" w:cs="仿宋_GB2312"/>
          <w:i w:val="0"/>
          <w:iCs w:val="0"/>
          <w:caps w:val="0"/>
          <w:color w:val="0F1115"/>
          <w:spacing w:val="0"/>
          <w:sz w:val="32"/>
          <w:szCs w:val="32"/>
          <w:shd w:val="clear" w:fill="FFFFFF"/>
        </w:rPr>
        <w:t>权利，</w:t>
      </w:r>
      <w:r>
        <w:rPr>
          <w:rFonts w:hint="eastAsia" w:ascii="仿宋_GB2312" w:hAnsi="仿宋_GB2312" w:eastAsia="仿宋_GB2312" w:cs="仿宋_GB2312"/>
          <w:i w:val="0"/>
          <w:iCs w:val="0"/>
          <w:caps w:val="0"/>
          <w:color w:val="0F1115"/>
          <w:spacing w:val="0"/>
          <w:sz w:val="32"/>
          <w:szCs w:val="32"/>
          <w:shd w:val="clear" w:fill="FFFFFF"/>
          <w:lang w:val="en-US" w:eastAsia="zh-CN"/>
        </w:rPr>
        <w:t>陈述申辩理由不成立的，依法作出记分决定并送达给</w:t>
      </w:r>
      <w:r>
        <w:rPr>
          <w:rFonts w:hint="eastAsia" w:ascii="仿宋_GB2312" w:hAnsi="仿宋_GB2312" w:eastAsia="仿宋_GB2312" w:cs="仿宋_GB2312"/>
          <w:i w:val="0"/>
          <w:iCs w:val="0"/>
          <w:caps w:val="0"/>
          <w:color w:val="0F1115"/>
          <w:spacing w:val="0"/>
          <w:sz w:val="32"/>
          <w:szCs w:val="32"/>
          <w:shd w:val="clear" w:fill="FFFFFF"/>
        </w:rPr>
        <w:t>物业服务企业或物业经理人</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lang w:val="en-US" w:eastAsia="zh-CN"/>
        </w:rPr>
        <w:t>并</w:t>
      </w:r>
      <w:r>
        <w:rPr>
          <w:rFonts w:hint="eastAsia" w:ascii="仿宋_GB2312" w:hAnsi="仿宋_GB2312" w:eastAsia="仿宋_GB2312" w:cs="仿宋_GB2312"/>
          <w:i w:val="0"/>
          <w:iCs w:val="0"/>
          <w:caps w:val="0"/>
          <w:color w:val="0F1115"/>
          <w:spacing w:val="0"/>
          <w:sz w:val="32"/>
          <w:szCs w:val="32"/>
          <w:shd w:val="clear" w:fill="FFFFFF"/>
        </w:rPr>
        <w:t>通过区政府门户网站或政务公开渠道进行公示。区营商局可根据需要对相关信用管理工作提供政策指导与支持。</w:t>
      </w:r>
    </w:p>
    <w:p w14:paraId="2D9CAC5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第十六条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信用主体认为区住建局记录或公示的自身信用信息存在错误、遗漏、超期公示或侵犯其合法权益的，有权向区住建局提出书面异议申请，并提交相关证据材料。</w:t>
      </w:r>
    </w:p>
    <w:p w14:paraId="70374E4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第十七条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区住建局应当自收到异议申请之日起15个工作日内完成核查并作出处理决定</w:t>
      </w:r>
      <w:r>
        <w:rPr>
          <w:rFonts w:hint="eastAsia" w:ascii="仿宋_GB2312" w:hAnsi="仿宋_GB2312" w:eastAsia="仿宋_GB2312" w:cs="仿宋_GB2312"/>
          <w:i w:val="0"/>
          <w:iCs w:val="0"/>
          <w:caps w:val="0"/>
          <w:color w:val="0F1115"/>
          <w:spacing w:val="0"/>
          <w:sz w:val="32"/>
          <w:szCs w:val="32"/>
          <w:shd w:val="clear" w:fill="FFFFFF"/>
          <w:lang w:eastAsia="zh-CN"/>
        </w:rPr>
        <w:t>，</w:t>
      </w:r>
      <w:r>
        <w:rPr>
          <w:rFonts w:hint="eastAsia" w:ascii="仿宋_GB2312" w:hAnsi="仿宋_GB2312" w:eastAsia="仿宋_GB2312" w:cs="仿宋_GB2312"/>
          <w:i w:val="0"/>
          <w:iCs w:val="0"/>
          <w:caps w:val="0"/>
          <w:color w:val="0F1115"/>
          <w:spacing w:val="0"/>
          <w:sz w:val="32"/>
          <w:szCs w:val="32"/>
          <w:shd w:val="clear" w:fill="FFFFFF"/>
          <w:lang w:val="en-US" w:eastAsia="zh-CN"/>
        </w:rPr>
        <w:t>情况复杂导致难以在该期限内完成核查并作出处理决定的，经</w:t>
      </w:r>
      <w:r>
        <w:rPr>
          <w:rFonts w:hint="eastAsia" w:ascii="仿宋_GB2312" w:hAnsi="仿宋_GB2312" w:eastAsia="仿宋_GB2312" w:cs="仿宋_GB2312"/>
          <w:i w:val="0"/>
          <w:iCs w:val="0"/>
          <w:caps w:val="0"/>
          <w:color w:val="0F1115"/>
          <w:spacing w:val="0"/>
          <w:sz w:val="32"/>
          <w:szCs w:val="32"/>
          <w:shd w:val="clear" w:fill="FFFFFF"/>
        </w:rPr>
        <w:t>区住建局</w:t>
      </w:r>
      <w:r>
        <w:rPr>
          <w:rFonts w:hint="eastAsia" w:ascii="仿宋_GB2312" w:hAnsi="仿宋_GB2312" w:eastAsia="仿宋_GB2312" w:cs="仿宋_GB2312"/>
          <w:i w:val="0"/>
          <w:iCs w:val="0"/>
          <w:caps w:val="0"/>
          <w:color w:val="0F1115"/>
          <w:spacing w:val="0"/>
          <w:sz w:val="32"/>
          <w:szCs w:val="32"/>
          <w:shd w:val="clear" w:fill="FFFFFF"/>
          <w:lang w:val="en-US" w:eastAsia="zh-CN"/>
        </w:rPr>
        <w:t>分管负责人审批后，可延长15个工作日</w:t>
      </w:r>
      <w:r>
        <w:rPr>
          <w:rFonts w:hint="eastAsia" w:ascii="仿宋_GB2312" w:hAnsi="仿宋_GB2312" w:eastAsia="仿宋_GB2312" w:cs="仿宋_GB2312"/>
          <w:i w:val="0"/>
          <w:iCs w:val="0"/>
          <w:caps w:val="0"/>
          <w:color w:val="0F1115"/>
          <w:spacing w:val="0"/>
          <w:sz w:val="32"/>
          <w:szCs w:val="32"/>
          <w:shd w:val="clear" w:fill="FFFFFF"/>
        </w:rPr>
        <w:t>。经核查，</w:t>
      </w:r>
      <w:r>
        <w:rPr>
          <w:rFonts w:hint="eastAsia" w:ascii="仿宋_GB2312" w:hAnsi="仿宋_GB2312" w:eastAsia="仿宋_GB2312" w:cs="仿宋_GB2312"/>
          <w:i w:val="0"/>
          <w:iCs w:val="0"/>
          <w:caps w:val="0"/>
          <w:color w:val="0F1115"/>
          <w:spacing w:val="0"/>
          <w:sz w:val="32"/>
          <w:szCs w:val="32"/>
          <w:shd w:val="clear" w:fill="FFFFFF"/>
          <w:lang w:val="en-US" w:eastAsia="zh-CN"/>
        </w:rPr>
        <w:t>记分</w:t>
      </w:r>
      <w:r>
        <w:rPr>
          <w:rFonts w:hint="eastAsia" w:ascii="仿宋_GB2312" w:hAnsi="仿宋_GB2312" w:eastAsia="仿宋_GB2312" w:cs="仿宋_GB2312"/>
          <w:i w:val="0"/>
          <w:iCs w:val="0"/>
          <w:caps w:val="0"/>
          <w:color w:val="0F1115"/>
          <w:spacing w:val="0"/>
          <w:sz w:val="32"/>
          <w:szCs w:val="32"/>
          <w:shd w:val="clear" w:fill="FFFFFF"/>
        </w:rPr>
        <w:t>信息确属错误或不当的，应当及时更正或撤销，并将处理结果书面告知异议申请人。信息核查处理期间，该部分信息暂停对外公示与应用。</w:t>
      </w:r>
    </w:p>
    <w:p w14:paraId="556EF23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第十八条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区住建局与区营商局应建立健全内部监督与相互监督制度，确保信用管理工作规范有序。工作人员在信用管理工作中玩忽职守、滥用职权、徇私舞弊的，依法给予处分；构成犯罪的，依法追究刑事责任。</w:t>
      </w:r>
    </w:p>
    <w:p w14:paraId="772F362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第五章 附则</w:t>
      </w:r>
    </w:p>
    <w:p w14:paraId="1335468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第十九条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本办法由天涯区住房和城乡建设局与天涯区营商环境建设局共同负责解释。</w:t>
      </w:r>
    </w:p>
    <w:p w14:paraId="590E972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643" w:firstLineChars="20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第二十条</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fill="FFFFFF"/>
        </w:rPr>
        <w:t>本办法自 年 月 日起施行，有效期至 年 月 日。</w:t>
      </w:r>
    </w:p>
    <w:p w14:paraId="254AC8C1">
      <w:pPr>
        <w:keepNext w:val="0"/>
        <w:keepLines w:val="0"/>
        <w:pageBreakBefore w:val="0"/>
        <w:kinsoku/>
        <w:wordWrap/>
        <w:overflowPunct/>
        <w:topLinePunct w:val="0"/>
        <w:autoSpaceDE/>
        <w:autoSpaceDN/>
        <w:bidi w:val="0"/>
        <w:adjustRightInd/>
        <w:snapToGrid/>
        <w:spacing w:line="572" w:lineRule="exact"/>
        <w:ind w:firstLine="420" w:firstLineChars="200"/>
        <w:textAlignment w:val="auto"/>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B127A"/>
    <w:multiLevelType w:val="singleLevel"/>
    <w:tmpl w:val="C40B127A"/>
    <w:lvl w:ilvl="0" w:tentative="0">
      <w:start w:val="1"/>
      <w:numFmt w:val="chineseCounting"/>
      <w:suff w:val="nothing"/>
      <w:lvlText w:val="（%1）"/>
      <w:lvlJc w:val="left"/>
      <w:rPr>
        <w:rFonts w:hint="eastAsia"/>
      </w:rPr>
    </w:lvl>
  </w:abstractNum>
  <w:abstractNum w:abstractNumId="1">
    <w:nsid w:val="25D98B90"/>
    <w:multiLevelType w:val="singleLevel"/>
    <w:tmpl w:val="25D98B9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26E6C"/>
    <w:rsid w:val="034A6E79"/>
    <w:rsid w:val="060F1629"/>
    <w:rsid w:val="073A744C"/>
    <w:rsid w:val="0B8735A5"/>
    <w:rsid w:val="2F1538FF"/>
    <w:rsid w:val="31423BBD"/>
    <w:rsid w:val="37037098"/>
    <w:rsid w:val="48391912"/>
    <w:rsid w:val="49F26E6C"/>
    <w:rsid w:val="4B553D03"/>
    <w:rsid w:val="679F248D"/>
    <w:rsid w:val="69D71116"/>
    <w:rsid w:val="BFFDB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天涯区</Company>
  <Pages>7</Pages>
  <Words>3466</Words>
  <Characters>3468</Characters>
  <Lines>0</Lines>
  <Paragraphs>0</Paragraphs>
  <TotalTime>16</TotalTime>
  <ScaleCrop>false</ScaleCrop>
  <LinksUpToDate>false</LinksUpToDate>
  <CharactersWithSpaces>3508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2026-02-12T12:32:00Z</dcterms:created>
  <dc:creator>卋罖丶</dc:creator>
  <cp:lastModifiedBy>卋罖丶</cp:lastModifiedBy>
  <dcterms:modified xsi:type="dcterms:W3CDTF">2026-04-15T03:54:16Z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487C545ACF9F48E5978837E0C2088731_13</vt:lpwstr>
  </property>
  <property fmtid="{D5CDD505-2E9C-101B-9397-08002B2CF9AE}" pid="4" name="KSOTemplateDocerSaveRecord">
    <vt:lpwstr>eyJoZGlkIjoiNmY0MTQ2YzdkMDZlNDZjNGU5MWRkNzllNmVjNWM0M2UiLCJ1c2VySWQiOiIxMzgxNDU0MDgxIn0=</vt:lpwstr>
  </property>
</Properties>
</file>