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spacing w:line="560" w:lineRule="exact"/>
        <w:ind w:firstLine="880" w:firstLineChars="200"/>
        <w:rPr>
          <w:rFonts w:hint="eastAsia" w:ascii="方正小标宋简体" w:hAnsi="方正小标宋简体" w:eastAsia="方正小标宋简体" w:cs="方正小标宋简体"/>
          <w:snapToGrid w:val="0"/>
          <w:color w:val="auto"/>
          <w:sz w:val="44"/>
          <w:szCs w:val="21"/>
          <w:highlight w:val="none"/>
        </w:rPr>
      </w:pPr>
    </w:p>
    <w:p>
      <w:pPr>
        <w:topLinePunct/>
        <w:spacing w:line="560" w:lineRule="exact"/>
        <w:ind w:firstLine="880" w:firstLineChars="200"/>
        <w:rPr>
          <w:rFonts w:hint="eastAsia" w:ascii="方正小标宋简体" w:hAnsi="方正小标宋简体" w:eastAsia="方正小标宋简体" w:cs="方正小标宋简体"/>
          <w:snapToGrid w:val="0"/>
          <w:color w:val="auto"/>
          <w:sz w:val="44"/>
          <w:szCs w:val="21"/>
          <w:highlight w:val="none"/>
        </w:rPr>
      </w:pPr>
    </w:p>
    <w:p>
      <w:pPr>
        <w:topLinePunct/>
        <w:spacing w:line="560" w:lineRule="exact"/>
        <w:ind w:firstLine="880" w:firstLineChars="200"/>
        <w:rPr>
          <w:rFonts w:hint="eastAsia" w:ascii="方正小标宋简体" w:hAnsi="方正小标宋简体" w:eastAsia="方正小标宋简体" w:cs="方正小标宋简体"/>
          <w:snapToGrid w:val="0"/>
          <w:color w:val="auto"/>
          <w:sz w:val="44"/>
          <w:szCs w:val="21"/>
          <w:highlight w:val="none"/>
        </w:rPr>
      </w:pPr>
    </w:p>
    <w:p>
      <w:pPr>
        <w:topLinePunct/>
        <w:spacing w:line="560" w:lineRule="exact"/>
        <w:jc w:val="center"/>
        <w:rPr>
          <w:rFonts w:hint="eastAsia" w:ascii="方正小标宋简体" w:hAnsi="方正小标宋简体" w:eastAsia="方正小标宋简体" w:cs="方正小标宋简体"/>
          <w:snapToGrid w:val="0"/>
          <w:color w:val="auto"/>
          <w:sz w:val="44"/>
          <w:szCs w:val="21"/>
          <w:highlight w:val="none"/>
        </w:rPr>
      </w:pPr>
      <w:bookmarkStart w:id="55" w:name="_GoBack"/>
      <w:r>
        <w:rPr>
          <w:rFonts w:hint="eastAsia" w:ascii="方正小标宋简体" w:hAnsi="方正小标宋简体" w:eastAsia="方正小标宋简体" w:cs="方正小标宋简体"/>
          <w:snapToGrid w:val="0"/>
          <w:color w:val="auto"/>
          <w:sz w:val="44"/>
          <w:szCs w:val="21"/>
          <w:highlight w:val="none"/>
        </w:rPr>
        <w:t>天涯凤凰岛海域摩托艇碰撞</w:t>
      </w:r>
    </w:p>
    <w:p>
      <w:pPr>
        <w:topLinePunct/>
        <w:spacing w:line="560" w:lineRule="exact"/>
        <w:jc w:val="center"/>
        <w:rPr>
          <w:rFonts w:hint="eastAsia" w:ascii="方正小标宋简体" w:hAnsi="方正小标宋简体" w:eastAsia="方正小标宋简体" w:cs="方正小标宋简体"/>
          <w:snapToGrid w:val="0"/>
          <w:color w:val="auto"/>
          <w:sz w:val="44"/>
          <w:szCs w:val="21"/>
          <w:highlight w:val="none"/>
        </w:rPr>
      </w:pPr>
      <w:r>
        <w:rPr>
          <w:rFonts w:hint="eastAsia" w:ascii="方正小标宋简体" w:hAnsi="方正小标宋简体" w:eastAsia="方正小标宋简体" w:cs="方正小标宋简体"/>
          <w:snapToGrid w:val="0"/>
          <w:color w:val="auto"/>
          <w:sz w:val="44"/>
          <w:szCs w:val="21"/>
          <w:highlight w:val="none"/>
        </w:rPr>
        <w:t>“12·18”一般其他事故调查报告</w:t>
      </w:r>
      <w:bookmarkEnd w:id="55"/>
      <w:bookmarkStart w:id="0" w:name="heading_0"/>
    </w:p>
    <w:p>
      <w:pPr>
        <w:topLinePunct/>
        <w:spacing w:line="560" w:lineRule="exact"/>
        <w:ind w:firstLine="880" w:firstLineChars="200"/>
        <w:rPr>
          <w:rFonts w:hint="eastAsia" w:ascii="方正小标宋简体" w:hAnsi="方正小标宋简体" w:eastAsia="方正小标宋简体" w:cs="方正小标宋简体"/>
          <w:snapToGrid w:val="0"/>
          <w:color w:val="auto"/>
          <w:sz w:val="44"/>
          <w:szCs w:val="21"/>
          <w:highlight w:val="none"/>
        </w:rPr>
      </w:pPr>
    </w:p>
    <w:p>
      <w:pPr>
        <w:pStyle w:val="2"/>
        <w:rPr>
          <w:rFonts w:hint="eastAsia"/>
        </w:rPr>
      </w:pPr>
    </w:p>
    <w:p>
      <w:pPr>
        <w:topLinePunct/>
        <w:spacing w:line="560" w:lineRule="exact"/>
        <w:ind w:firstLine="880" w:firstLineChars="200"/>
        <w:rPr>
          <w:rFonts w:hint="eastAsia" w:ascii="方正小标宋简体" w:hAnsi="方正小标宋简体" w:eastAsia="方正小标宋简体" w:cs="方正小标宋简体"/>
          <w:snapToGrid w:val="0"/>
          <w:color w:val="auto"/>
          <w:sz w:val="44"/>
          <w:szCs w:val="21"/>
          <w:highlight w:val="none"/>
        </w:rPr>
      </w:pPr>
    </w:p>
    <w:p>
      <w:pPr>
        <w:topLinePunct/>
        <w:spacing w:line="560" w:lineRule="exact"/>
        <w:ind w:firstLine="880" w:firstLineChars="200"/>
        <w:rPr>
          <w:rFonts w:hint="eastAsia" w:ascii="方正小标宋简体" w:hAnsi="方正小标宋简体" w:eastAsia="方正小标宋简体" w:cs="方正小标宋简体"/>
          <w:snapToGrid w:val="0"/>
          <w:color w:val="auto"/>
          <w:sz w:val="44"/>
          <w:szCs w:val="21"/>
          <w:highlight w:val="none"/>
        </w:rPr>
      </w:pPr>
    </w:p>
    <w:p>
      <w:pPr>
        <w:topLinePunct/>
        <w:spacing w:line="560" w:lineRule="exact"/>
        <w:ind w:firstLine="880" w:firstLineChars="200"/>
        <w:rPr>
          <w:rFonts w:hint="eastAsia" w:ascii="方正小标宋简体" w:hAnsi="方正小标宋简体" w:eastAsia="方正小标宋简体" w:cs="方正小标宋简体"/>
          <w:snapToGrid w:val="0"/>
          <w:color w:val="auto"/>
          <w:sz w:val="44"/>
          <w:szCs w:val="21"/>
          <w:highlight w:val="none"/>
        </w:rPr>
      </w:pPr>
    </w:p>
    <w:p>
      <w:pPr>
        <w:topLinePunct/>
        <w:spacing w:line="560" w:lineRule="exact"/>
        <w:ind w:firstLine="880" w:firstLineChars="200"/>
        <w:rPr>
          <w:rFonts w:hint="eastAsia" w:ascii="方正小标宋简体" w:hAnsi="方正小标宋简体" w:eastAsia="方正小标宋简体" w:cs="方正小标宋简体"/>
          <w:snapToGrid w:val="0"/>
          <w:color w:val="auto"/>
          <w:sz w:val="44"/>
          <w:szCs w:val="21"/>
          <w:highlight w:val="none"/>
        </w:rPr>
      </w:pPr>
    </w:p>
    <w:p>
      <w:pPr>
        <w:topLinePunct/>
        <w:spacing w:line="560" w:lineRule="exact"/>
        <w:ind w:firstLine="880" w:firstLineChars="200"/>
        <w:rPr>
          <w:rFonts w:hint="eastAsia" w:ascii="方正小标宋简体" w:hAnsi="方正小标宋简体" w:eastAsia="方正小标宋简体" w:cs="方正小标宋简体"/>
          <w:snapToGrid w:val="0"/>
          <w:color w:val="auto"/>
          <w:sz w:val="44"/>
          <w:szCs w:val="21"/>
          <w:highlight w:val="none"/>
        </w:rPr>
      </w:pPr>
    </w:p>
    <w:p>
      <w:pPr>
        <w:topLinePunct/>
        <w:spacing w:line="560" w:lineRule="exact"/>
        <w:ind w:firstLine="880" w:firstLineChars="200"/>
        <w:rPr>
          <w:rFonts w:hint="eastAsia" w:ascii="方正小标宋简体" w:hAnsi="方正小标宋简体" w:eastAsia="方正小标宋简体" w:cs="方正小标宋简体"/>
          <w:snapToGrid w:val="0"/>
          <w:color w:val="auto"/>
          <w:sz w:val="44"/>
          <w:szCs w:val="21"/>
          <w:highlight w:val="none"/>
        </w:rPr>
      </w:pPr>
    </w:p>
    <w:p>
      <w:pPr>
        <w:topLinePunct/>
        <w:spacing w:line="560" w:lineRule="exact"/>
        <w:ind w:firstLine="880" w:firstLineChars="200"/>
        <w:rPr>
          <w:rFonts w:hint="eastAsia" w:ascii="方正小标宋简体" w:hAnsi="方正小标宋简体" w:eastAsia="方正小标宋简体" w:cs="方正小标宋简体"/>
          <w:snapToGrid w:val="0"/>
          <w:color w:val="auto"/>
          <w:sz w:val="44"/>
          <w:szCs w:val="21"/>
          <w:highlight w:val="none"/>
        </w:rPr>
      </w:pPr>
    </w:p>
    <w:p>
      <w:pPr>
        <w:tabs>
          <w:tab w:val="left" w:pos="2505"/>
        </w:tabs>
        <w:topLinePunct/>
        <w:spacing w:line="560" w:lineRule="exact"/>
        <w:ind w:firstLine="880" w:firstLineChars="200"/>
        <w:rPr>
          <w:rFonts w:hint="eastAsia" w:ascii="方正小标宋简体" w:hAnsi="方正小标宋简体" w:eastAsia="方正小标宋简体" w:cs="方正小标宋简体"/>
          <w:snapToGrid w:val="0"/>
          <w:color w:val="auto"/>
          <w:sz w:val="44"/>
          <w:szCs w:val="21"/>
          <w:highlight w:val="none"/>
        </w:rPr>
      </w:pPr>
      <w:r>
        <w:rPr>
          <w:rFonts w:hint="eastAsia" w:ascii="方正小标宋简体" w:hAnsi="方正小标宋简体" w:eastAsia="方正小标宋简体" w:cs="方正小标宋简体"/>
          <w:snapToGrid w:val="0"/>
          <w:color w:val="auto"/>
          <w:sz w:val="44"/>
          <w:szCs w:val="21"/>
          <w:highlight w:val="none"/>
        </w:rPr>
        <w:tab/>
      </w:r>
    </w:p>
    <w:p>
      <w:pPr>
        <w:topLinePunct/>
        <w:spacing w:line="560" w:lineRule="exact"/>
        <w:ind w:firstLine="880" w:firstLineChars="200"/>
        <w:rPr>
          <w:rFonts w:hint="eastAsia" w:ascii="方正小标宋简体" w:hAnsi="方正小标宋简体" w:eastAsia="方正小标宋简体" w:cs="方正小标宋简体"/>
          <w:snapToGrid w:val="0"/>
          <w:color w:val="auto"/>
          <w:sz w:val="44"/>
          <w:szCs w:val="21"/>
          <w:highlight w:val="none"/>
        </w:rPr>
      </w:pPr>
    </w:p>
    <w:p>
      <w:pPr>
        <w:topLinePunct/>
        <w:spacing w:line="560" w:lineRule="exact"/>
        <w:ind w:firstLine="880" w:firstLineChars="200"/>
        <w:rPr>
          <w:rFonts w:hint="eastAsia" w:ascii="方正小标宋简体" w:hAnsi="方正小标宋简体" w:eastAsia="方正小标宋简体" w:cs="方正小标宋简体"/>
          <w:snapToGrid w:val="0"/>
          <w:color w:val="auto"/>
          <w:sz w:val="44"/>
          <w:szCs w:val="21"/>
          <w:highlight w:val="none"/>
        </w:rPr>
      </w:pPr>
    </w:p>
    <w:p>
      <w:pPr>
        <w:topLinePunct/>
        <w:spacing w:line="560" w:lineRule="exact"/>
        <w:ind w:firstLine="880" w:firstLineChars="200"/>
        <w:rPr>
          <w:rFonts w:hint="eastAsia" w:ascii="方正小标宋简体" w:hAnsi="方正小标宋简体" w:eastAsia="方正小标宋简体" w:cs="方正小标宋简体"/>
          <w:snapToGrid w:val="0"/>
          <w:color w:val="auto"/>
          <w:sz w:val="44"/>
          <w:szCs w:val="21"/>
          <w:highlight w:val="none"/>
        </w:rPr>
      </w:pPr>
    </w:p>
    <w:p>
      <w:pPr>
        <w:topLinePunct/>
        <w:spacing w:line="560" w:lineRule="exact"/>
        <w:ind w:firstLine="880" w:firstLineChars="200"/>
        <w:rPr>
          <w:rFonts w:hint="eastAsia" w:ascii="方正小标宋简体" w:hAnsi="方正小标宋简体" w:eastAsia="方正小标宋简体" w:cs="方正小标宋简体"/>
          <w:snapToGrid w:val="0"/>
          <w:color w:val="auto"/>
          <w:sz w:val="44"/>
          <w:szCs w:val="21"/>
          <w:highlight w:val="none"/>
        </w:rPr>
      </w:pPr>
    </w:p>
    <w:p>
      <w:pPr>
        <w:spacing w:line="360" w:lineRule="auto"/>
        <w:jc w:val="center"/>
        <w:rPr>
          <w:rFonts w:hint="eastAsia" w:ascii="黑体" w:hAnsi="黑体" w:eastAsia="黑体" w:cs="方正小标宋_GBK"/>
          <w:kern w:val="2"/>
          <w:sz w:val="28"/>
          <w:szCs w:val="28"/>
          <w14:ligatures w14:val="none"/>
        </w:rPr>
      </w:pPr>
      <w:r>
        <w:rPr>
          <w:rFonts w:hint="eastAsia" w:ascii="黑体" w:hAnsi="黑体" w:eastAsia="黑体" w:cs="方正小标宋_GBK"/>
          <w:kern w:val="2"/>
          <w:sz w:val="28"/>
          <w:szCs w:val="28"/>
          <w14:ligatures w14:val="none"/>
        </w:rPr>
        <w:t>三亚市天涯区政府事故调查组</w:t>
      </w:r>
    </w:p>
    <w:p>
      <w:pPr>
        <w:spacing w:line="360" w:lineRule="auto"/>
        <w:jc w:val="center"/>
        <w:rPr>
          <w:rFonts w:hint="eastAsia" w:ascii="方正小标宋简体" w:hAnsi="方正小标宋简体" w:eastAsia="方正小标宋简体" w:cs="方正小标宋简体"/>
          <w:color w:val="auto"/>
          <w:sz w:val="44"/>
          <w:highlight w:val="none"/>
        </w:rPr>
      </w:pPr>
      <w:r>
        <w:rPr>
          <w:rFonts w:hint="eastAsia" w:ascii="黑体" w:hAnsi="黑体" w:eastAsia="黑体" w:cs="方正小标宋_GBK"/>
          <w:kern w:val="2"/>
          <w:sz w:val="28"/>
          <w:szCs w:val="28"/>
          <w14:ligatures w14:val="none"/>
        </w:rPr>
        <w:t>2026年</w:t>
      </w:r>
      <w:r>
        <w:rPr>
          <w:rFonts w:hint="eastAsia" w:ascii="黑体" w:hAnsi="黑体" w:eastAsia="黑体" w:cs="方正小标宋_GBK"/>
          <w:kern w:val="2"/>
          <w:sz w:val="28"/>
          <w:szCs w:val="28"/>
          <w:lang w:val="en-US" w:eastAsia="zh-CN"/>
          <w14:ligatures w14:val="none"/>
        </w:rPr>
        <w:t>8</w:t>
      </w:r>
      <w:r>
        <w:rPr>
          <w:rFonts w:hint="eastAsia" w:ascii="黑体" w:hAnsi="黑体" w:eastAsia="黑体" w:cs="方正小标宋_GBK"/>
          <w:kern w:val="2"/>
          <w:sz w:val="28"/>
          <w:szCs w:val="28"/>
          <w14:ligatures w14:val="none"/>
        </w:rPr>
        <w:t>月</w:t>
      </w:r>
    </w:p>
    <w:p>
      <w:pPr>
        <w:spacing w:line="560" w:lineRule="exact"/>
        <w:jc w:val="center"/>
        <w:rPr>
          <w:rFonts w:hint="eastAsia" w:ascii="方正小标宋简体" w:hAnsi="方正小标宋简体" w:eastAsia="方正小标宋简体" w:cs="方正小标宋简体"/>
          <w:color w:val="auto"/>
          <w:sz w:val="44"/>
          <w:highlight w:val="none"/>
        </w:rPr>
      </w:pPr>
    </w:p>
    <w:bookmarkEnd w:id="0"/>
    <w:p>
      <w:pPr>
        <w:jc w:val="center"/>
        <w:rPr>
          <w:rFonts w:hint="eastAsia" w:ascii="宋体" w:hAnsi="宋体"/>
          <w:color w:val="auto"/>
          <w:highlight w:val="none"/>
        </w:rPr>
      </w:pPr>
    </w:p>
    <w:sdt>
      <w:sdtPr>
        <w:rPr>
          <w:rFonts w:ascii="宋体" w:hAnsi="宋体"/>
          <w:color w:val="auto"/>
          <w:highlight w:val="none"/>
        </w:rPr>
        <w:id w:val="147452119"/>
        <w15:color w:val="DBDBDB"/>
        <w:docPartObj>
          <w:docPartGallery w:val="Table of Contents"/>
          <w:docPartUnique/>
        </w:docPartObj>
      </w:sdtPr>
      <w:sdtEndPr>
        <w:rPr>
          <w:rFonts w:hint="eastAsia" w:ascii="方正仿宋_GB2312" w:hAnsi="方正仿宋_GB2312" w:eastAsia="方正仿宋_GB2312" w:cs="方正仿宋_GB2312"/>
          <w:snapToGrid w:val="0"/>
          <w:color w:val="auto"/>
          <w:szCs w:val="32"/>
          <w:highlight w:val="none"/>
        </w:rPr>
      </w:sdtEndPr>
      <w:sdtContent>
        <w:p>
          <w:pPr>
            <w:jc w:val="center"/>
            <w:rPr>
              <w:rFonts w:hint="eastAsia" w:ascii="宋体" w:hAnsi="宋体"/>
              <w:color w:val="auto"/>
              <w:highlight w:val="none"/>
            </w:rPr>
          </w:pPr>
        </w:p>
        <w:p>
          <w:pPr>
            <w:keepNext w:val="0"/>
            <w:keepLines w:val="0"/>
            <w:pageBreakBefore w:val="0"/>
            <w:widowControl w:val="0"/>
            <w:kinsoku/>
            <w:wordWrap/>
            <w:overflowPunct/>
            <w:topLinePunct w:val="0"/>
            <w:bidi w:val="0"/>
            <w:spacing w:line="360" w:lineRule="exact"/>
            <w:jc w:val="center"/>
            <w:rPr>
              <w:b/>
              <w:bCs/>
              <w:color w:val="auto"/>
              <w:sz w:val="30"/>
              <w:szCs w:val="30"/>
              <w:highlight w:val="none"/>
            </w:rPr>
          </w:pPr>
          <w:r>
            <w:rPr>
              <w:rFonts w:ascii="宋体" w:hAnsi="宋体"/>
              <w:b/>
              <w:bCs/>
              <w:color w:val="auto"/>
              <w:sz w:val="30"/>
              <w:szCs w:val="30"/>
              <w:highlight w:val="none"/>
            </w:rPr>
            <w:t>目录</w:t>
          </w:r>
        </w:p>
        <w:p>
          <w:pPr>
            <w:pStyle w:val="11"/>
            <w:keepNext w:val="0"/>
            <w:keepLines w:val="0"/>
            <w:pageBreakBefore w:val="0"/>
            <w:widowControl w:val="0"/>
            <w:tabs>
              <w:tab w:val="right" w:leader="dot" w:pos="8844"/>
            </w:tabs>
            <w:kinsoku/>
            <w:wordWrap/>
            <w:overflowPunct/>
            <w:topLinePunct w:val="0"/>
            <w:bidi w:val="0"/>
            <w:spacing w:line="360" w:lineRule="exact"/>
            <w:rPr>
              <w:color w:val="auto"/>
              <w:highlight w:val="none"/>
            </w:rPr>
          </w:pPr>
          <w:r>
            <w:rPr>
              <w:rFonts w:hint="eastAsia" w:ascii="方正仿宋_GB2312" w:hAnsi="方正仿宋_GB2312" w:eastAsia="方正仿宋_GB2312" w:cs="方正仿宋_GB2312"/>
              <w:snapToGrid w:val="0"/>
              <w:color w:val="auto"/>
              <w:sz w:val="32"/>
              <w:szCs w:val="32"/>
              <w:highlight w:val="none"/>
            </w:rPr>
            <w:fldChar w:fldCharType="begin"/>
          </w:r>
          <w:r>
            <w:rPr>
              <w:rFonts w:hint="eastAsia" w:ascii="方正仿宋_GB2312" w:hAnsi="方正仿宋_GB2312" w:eastAsia="方正仿宋_GB2312" w:cs="方正仿宋_GB2312"/>
              <w:snapToGrid w:val="0"/>
              <w:color w:val="auto"/>
              <w:sz w:val="32"/>
              <w:szCs w:val="32"/>
              <w:highlight w:val="none"/>
            </w:rPr>
            <w:instrText xml:space="preserve">TOC \o "1-2" \h \u </w:instrText>
          </w:r>
          <w:r>
            <w:rPr>
              <w:rFonts w:hint="eastAsia" w:ascii="方正仿宋_GB2312" w:hAnsi="方正仿宋_GB2312" w:eastAsia="方正仿宋_GB2312" w:cs="方正仿宋_GB2312"/>
              <w:snapToGrid w:val="0"/>
              <w:color w:val="auto"/>
              <w:sz w:val="32"/>
              <w:szCs w:val="32"/>
              <w:highlight w:val="none"/>
            </w:rPr>
            <w:fldChar w:fldCharType="separate"/>
          </w:r>
          <w:r>
            <w:rPr>
              <w:rStyle w:val="19"/>
              <w:rFonts w:ascii="宋体" w:hAnsi="宋体" w:cs="方正仿宋_GBK"/>
              <w:b/>
              <w:bCs/>
              <w:kern w:val="2"/>
              <w:sz w:val="28"/>
              <w:szCs w:val="28"/>
              <w14:ligatures w14:val="none"/>
            </w:rPr>
            <w:fldChar w:fldCharType="begin"/>
          </w:r>
          <w:r>
            <w:rPr>
              <w:rStyle w:val="19"/>
              <w:rFonts w:ascii="宋体" w:hAnsi="宋体" w:cs="方正仿宋_GBK"/>
              <w:b/>
              <w:bCs/>
              <w:kern w:val="2"/>
              <w:sz w:val="28"/>
              <w:szCs w:val="28"/>
              <w14:ligatures w14:val="none"/>
            </w:rPr>
            <w:instrText xml:space="preserve"> HYPERLINK \l "_Toc24707" </w:instrText>
          </w:r>
          <w:r>
            <w:rPr>
              <w:rStyle w:val="19"/>
              <w:rFonts w:ascii="宋体" w:hAnsi="宋体" w:cs="方正仿宋_GBK"/>
              <w:b/>
              <w:bCs/>
              <w:kern w:val="2"/>
              <w:sz w:val="28"/>
              <w:szCs w:val="28"/>
              <w14:ligatures w14:val="none"/>
            </w:rPr>
            <w:fldChar w:fldCharType="separate"/>
          </w:r>
          <w:r>
            <w:rPr>
              <w:rStyle w:val="19"/>
              <w:rFonts w:hint="eastAsia" w:ascii="宋体" w:hAnsi="宋体" w:cs="方正仿宋_GBK"/>
              <w:b/>
              <w:bCs/>
              <w:kern w:val="2"/>
              <w:sz w:val="28"/>
              <w:szCs w:val="28"/>
              <w14:ligatures w14:val="none"/>
            </w:rPr>
            <w:t>一、事故基本情况</w:t>
          </w:r>
          <w:r>
            <w:rPr>
              <w:rStyle w:val="19"/>
              <w:rFonts w:ascii="宋体" w:hAnsi="宋体" w:cs="方正仿宋_GBK"/>
              <w:b/>
              <w:bCs/>
              <w:kern w:val="2"/>
              <w:sz w:val="28"/>
              <w:szCs w:val="28"/>
              <w14:ligatures w14:val="none"/>
            </w:rPr>
            <w:tab/>
          </w:r>
          <w:r>
            <w:rPr>
              <w:rStyle w:val="19"/>
              <w:rFonts w:ascii="宋体" w:hAnsi="宋体" w:cs="方正仿宋_GBK"/>
              <w:b/>
              <w:bCs/>
              <w:kern w:val="2"/>
              <w:sz w:val="28"/>
              <w:szCs w:val="28"/>
              <w14:ligatures w14:val="none"/>
            </w:rPr>
            <w:fldChar w:fldCharType="begin"/>
          </w:r>
          <w:r>
            <w:rPr>
              <w:rStyle w:val="19"/>
              <w:rFonts w:ascii="宋体" w:hAnsi="宋体" w:cs="方正仿宋_GBK"/>
              <w:b/>
              <w:bCs/>
              <w:kern w:val="2"/>
              <w:sz w:val="28"/>
              <w:szCs w:val="28"/>
              <w14:ligatures w14:val="none"/>
            </w:rPr>
            <w:instrText xml:space="preserve"> PAGEREF _Toc24707 \h </w:instrText>
          </w:r>
          <w:r>
            <w:rPr>
              <w:rStyle w:val="19"/>
              <w:rFonts w:ascii="宋体" w:hAnsi="宋体" w:cs="方正仿宋_GBK"/>
              <w:b/>
              <w:bCs/>
              <w:kern w:val="2"/>
              <w:sz w:val="28"/>
              <w:szCs w:val="28"/>
              <w14:ligatures w14:val="none"/>
            </w:rPr>
            <w:fldChar w:fldCharType="separate"/>
          </w:r>
          <w:r>
            <w:rPr>
              <w:rStyle w:val="19"/>
              <w:rFonts w:ascii="宋体" w:hAnsi="宋体" w:cs="方正仿宋_GBK"/>
              <w:b/>
              <w:bCs/>
              <w:kern w:val="2"/>
              <w:sz w:val="28"/>
              <w:szCs w:val="28"/>
              <w14:ligatures w14:val="none"/>
            </w:rPr>
            <w:t>2</w:t>
          </w:r>
          <w:r>
            <w:rPr>
              <w:rStyle w:val="19"/>
              <w:rFonts w:ascii="宋体" w:hAnsi="宋体" w:cs="方正仿宋_GBK"/>
              <w:b/>
              <w:bCs/>
              <w:kern w:val="2"/>
              <w:sz w:val="28"/>
              <w:szCs w:val="28"/>
              <w14:ligatures w14:val="none"/>
            </w:rPr>
            <w:fldChar w:fldCharType="end"/>
          </w:r>
          <w:r>
            <w:rPr>
              <w:rStyle w:val="19"/>
              <w:rFonts w:ascii="宋体" w:hAnsi="宋体" w:cs="方正仿宋_GBK"/>
              <w:b/>
              <w:bCs/>
              <w:kern w:val="2"/>
              <w:sz w:val="28"/>
              <w:szCs w:val="28"/>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rFonts w:ascii="宋体" w:hAnsi="宋体" w:eastAsia="宋体" w:cs="方正仿宋_GBK"/>
              <w:b w:val="0"/>
              <w:bCs/>
              <w:kern w:val="2"/>
              <w:sz w:val="24"/>
              <w:szCs w:val="24"/>
              <w:lang w:val="en-US" w:eastAsia="zh-CN" w:bidi="ar-SA"/>
              <w14:ligatures w14: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"_Toc14661"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（一）事故发生单位及相关单位概况</w:t>
          </w:r>
          <w:r>
            <w:rPr>
              <w:rFonts w:ascii="宋体" w:hAnsi="宋体" w:eastAsia="宋体" w:cs="方正仿宋_GBK"/>
              <w:b w:val="0"/>
              <w:bCs/>
              <w:kern w:val="2"/>
              <w:sz w:val="24"/>
              <w:szCs w:val="24"/>
              <w:lang w:val="en-US" w:eastAsia="zh-CN" w:bidi="ar-SA"/>
              <w14:ligatures w14:val="none"/>
            </w:rPr>
            <w:tab/>
          </w:r>
          <w:r>
            <w:rPr>
              <w:rFonts w:hint="eastAsia" w:ascii="宋体" w:hAnsi="宋体" w:cs="方正仿宋_GBK"/>
              <w:b w:val="0"/>
              <w:bCs/>
              <w:kern w:val="2"/>
              <w:sz w:val="24"/>
              <w:szCs w:val="24"/>
              <w:lang w:val="en-US" w:eastAsia="zh-CN" w:bidi="ar-SA"/>
              <w14:ligatures w14:val="none"/>
            </w:rPr>
            <w:t>3</w:t>
          </w:r>
          <w:r>
            <w:rPr>
              <w:rFonts w:ascii="宋体" w:hAnsi="宋体" w:eastAsia="宋体" w:cs="方正仿宋_GBK"/>
              <w:b w:val="0"/>
              <w:bCs/>
              <w:kern w:val="2"/>
              <w:sz w:val="24"/>
              <w:szCs w:val="24"/>
              <w:lang w:val="en-US" w:eastAsia="zh-CN" w:bidi="ar-SA"/>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rFonts w:ascii="宋体" w:hAnsi="宋体" w:eastAsia="宋体" w:cs="方正仿宋_GBK"/>
              <w:b w:val="0"/>
              <w:bCs/>
              <w:kern w:val="2"/>
              <w:sz w:val="24"/>
              <w:szCs w:val="24"/>
              <w:lang w:val="en-US" w:eastAsia="zh-CN" w:bidi="ar-SA"/>
              <w14:ligatures w14: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"_Toc11425"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（二）事故发生单位安全管理情况</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_Toc11425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8</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rFonts w:ascii="宋体" w:hAnsi="宋体" w:eastAsia="宋体" w:cs="方正仿宋_GBK"/>
              <w:b w:val="0"/>
              <w:bCs/>
              <w:kern w:val="2"/>
              <w:sz w:val="24"/>
              <w:szCs w:val="24"/>
              <w:lang w:val="en-US" w:eastAsia="zh-CN" w:bidi="ar-SA"/>
              <w14:ligatures w14: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"_Toc23698"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（三）事故发生经过</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_Toc23698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9</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rFonts w:ascii="宋体" w:hAnsi="宋体" w:eastAsia="宋体" w:cs="方正仿宋_GBK"/>
              <w:b w:val="0"/>
              <w:bCs/>
              <w:kern w:val="2"/>
              <w:sz w:val="24"/>
              <w:szCs w:val="24"/>
              <w:lang w:val="en-US" w:eastAsia="zh-CN" w:bidi="ar-SA"/>
              <w14:ligatures w14: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"_Toc26083"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（四）事故现场情况</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_Toc26083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12</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rFonts w:ascii="宋体" w:hAnsi="宋体" w:eastAsia="宋体" w:cs="方正仿宋_GBK"/>
              <w:b w:val="0"/>
              <w:bCs/>
              <w:kern w:val="2"/>
              <w:sz w:val="24"/>
              <w:szCs w:val="24"/>
              <w:lang w:val="en-US" w:eastAsia="zh-CN" w:bidi="ar-SA"/>
              <w14:ligatures w14: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"_Toc6388"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（五）人员伤亡和直接经济损失情况</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_Toc6388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14</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color w:val="auto"/>
              <w:highlight w: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"_Toc868"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（六）其他情况</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_Toc868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14</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1"/>
            <w:keepNext w:val="0"/>
            <w:keepLines w:val="0"/>
            <w:pageBreakBefore w:val="0"/>
            <w:widowControl w:val="0"/>
            <w:tabs>
              <w:tab w:val="right" w:leader="dot" w:pos="8844"/>
            </w:tabs>
            <w:kinsoku/>
            <w:wordWrap/>
            <w:overflowPunct/>
            <w:topLinePunct w:val="0"/>
            <w:bidi w:val="0"/>
            <w:spacing w:line="360" w:lineRule="exact"/>
            <w:rPr>
              <w:color w:val="auto"/>
              <w:highlight w:val="none"/>
            </w:rPr>
          </w:pPr>
          <w:r>
            <w:rPr>
              <w:rStyle w:val="19"/>
              <w:rFonts w:ascii="宋体" w:hAnsi="宋体" w:cs="方正仿宋_GBK"/>
              <w:b/>
              <w:bCs/>
              <w:kern w:val="2"/>
              <w:sz w:val="28"/>
              <w:szCs w:val="28"/>
              <w14:ligatures w14:val="none"/>
            </w:rPr>
            <w:fldChar w:fldCharType="begin"/>
          </w:r>
          <w:r>
            <w:rPr>
              <w:rStyle w:val="19"/>
              <w:rFonts w:ascii="宋体" w:hAnsi="宋体" w:cs="方正仿宋_GBK"/>
              <w:b/>
              <w:bCs/>
              <w:kern w:val="2"/>
              <w:sz w:val="28"/>
              <w:szCs w:val="28"/>
              <w14:ligatures w14:val="none"/>
            </w:rPr>
            <w:instrText xml:space="preserve"> HYPERLINK \l "_Toc10010" </w:instrText>
          </w:r>
          <w:r>
            <w:rPr>
              <w:rStyle w:val="19"/>
              <w:rFonts w:ascii="宋体" w:hAnsi="宋体" w:cs="方正仿宋_GBK"/>
              <w:b/>
              <w:bCs/>
              <w:kern w:val="2"/>
              <w:sz w:val="28"/>
              <w:szCs w:val="28"/>
              <w14:ligatures w14:val="none"/>
            </w:rPr>
            <w:fldChar w:fldCharType="separate"/>
          </w:r>
          <w:r>
            <w:rPr>
              <w:rStyle w:val="19"/>
              <w:rFonts w:hint="eastAsia" w:ascii="宋体" w:hAnsi="宋体" w:cs="方正仿宋_GBK"/>
              <w:b/>
              <w:bCs/>
              <w:kern w:val="2"/>
              <w:sz w:val="28"/>
              <w:szCs w:val="28"/>
              <w14:ligatures w14:val="none"/>
            </w:rPr>
            <w:t>二</w:t>
          </w:r>
          <w:r>
            <w:rPr>
              <w:rStyle w:val="19"/>
              <w:rFonts w:ascii="宋体" w:hAnsi="宋体" w:cs="方正仿宋_GBK"/>
              <w:b/>
              <w:bCs/>
              <w:kern w:val="2"/>
              <w:sz w:val="28"/>
              <w:szCs w:val="28"/>
              <w14:ligatures w14:val="none"/>
            </w:rPr>
            <w:t>、事故应急处置及评估情况</w:t>
          </w:r>
          <w:r>
            <w:rPr>
              <w:rStyle w:val="19"/>
              <w:rFonts w:ascii="宋体" w:hAnsi="宋体" w:cs="方正仿宋_GBK"/>
              <w:b/>
              <w:bCs/>
              <w:kern w:val="2"/>
              <w:sz w:val="28"/>
              <w:szCs w:val="28"/>
              <w14:ligatures w14:val="none"/>
            </w:rPr>
            <w:tab/>
          </w:r>
          <w:r>
            <w:rPr>
              <w:rStyle w:val="19"/>
              <w:rFonts w:ascii="宋体" w:hAnsi="宋体" w:cs="方正仿宋_GBK"/>
              <w:b/>
              <w:bCs/>
              <w:kern w:val="2"/>
              <w:sz w:val="28"/>
              <w:szCs w:val="28"/>
              <w14:ligatures w14:val="none"/>
            </w:rPr>
            <w:fldChar w:fldCharType="begin"/>
          </w:r>
          <w:r>
            <w:rPr>
              <w:rStyle w:val="19"/>
              <w:rFonts w:ascii="宋体" w:hAnsi="宋体" w:cs="方正仿宋_GBK"/>
              <w:b/>
              <w:bCs/>
              <w:kern w:val="2"/>
              <w:sz w:val="28"/>
              <w:szCs w:val="28"/>
              <w14:ligatures w14:val="none"/>
            </w:rPr>
            <w:instrText xml:space="preserve"> PAGEREF _Toc10010 \h </w:instrText>
          </w:r>
          <w:r>
            <w:rPr>
              <w:rStyle w:val="19"/>
              <w:rFonts w:ascii="宋体" w:hAnsi="宋体" w:cs="方正仿宋_GBK"/>
              <w:b/>
              <w:bCs/>
              <w:kern w:val="2"/>
              <w:sz w:val="28"/>
              <w:szCs w:val="28"/>
              <w14:ligatures w14:val="none"/>
            </w:rPr>
            <w:fldChar w:fldCharType="separate"/>
          </w:r>
          <w:r>
            <w:rPr>
              <w:rStyle w:val="19"/>
              <w:rFonts w:ascii="宋体" w:hAnsi="宋体" w:cs="方正仿宋_GBK"/>
              <w:b/>
              <w:bCs/>
              <w:kern w:val="2"/>
              <w:sz w:val="28"/>
              <w:szCs w:val="28"/>
              <w14:ligatures w14:val="none"/>
            </w:rPr>
            <w:t>15</w:t>
          </w:r>
          <w:r>
            <w:rPr>
              <w:rStyle w:val="19"/>
              <w:rFonts w:ascii="宋体" w:hAnsi="宋体" w:cs="方正仿宋_GBK"/>
              <w:b/>
              <w:bCs/>
              <w:kern w:val="2"/>
              <w:sz w:val="28"/>
              <w:szCs w:val="28"/>
              <w14:ligatures w14:val="none"/>
            </w:rPr>
            <w:fldChar w:fldCharType="end"/>
          </w:r>
          <w:r>
            <w:rPr>
              <w:rStyle w:val="19"/>
              <w:rFonts w:ascii="宋体" w:hAnsi="宋体" w:cs="方正仿宋_GBK"/>
              <w:b/>
              <w:bCs/>
              <w:kern w:val="2"/>
              <w:sz w:val="28"/>
              <w:szCs w:val="28"/>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rFonts w:ascii="宋体" w:hAnsi="宋体" w:eastAsia="宋体" w:cs="方正仿宋_GBK"/>
              <w:b w:val="0"/>
              <w:bCs/>
              <w:kern w:val="2"/>
              <w:sz w:val="24"/>
              <w:szCs w:val="24"/>
              <w:lang w:val="en-US" w:eastAsia="zh-CN" w:bidi="ar-SA"/>
              <w14:ligatures w14: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"_Toc2321"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（一）事故信息接报及响应情况</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_Toc2321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15</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rFonts w:ascii="宋体" w:hAnsi="宋体" w:eastAsia="宋体" w:cs="方正仿宋_GBK"/>
              <w:b w:val="0"/>
              <w:bCs/>
              <w:kern w:val="2"/>
              <w:sz w:val="24"/>
              <w:szCs w:val="24"/>
              <w:lang w:val="en-US" w:eastAsia="zh-CN" w:bidi="ar-SA"/>
              <w14:ligatures w14: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"_Toc22866"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（二）事故现场应急处置情况</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_Toc22866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15</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rFonts w:ascii="宋体" w:hAnsi="宋体" w:eastAsia="宋体" w:cs="方正仿宋_GBK"/>
              <w:b w:val="0"/>
              <w:bCs/>
              <w:kern w:val="2"/>
              <w:sz w:val="24"/>
              <w:szCs w:val="24"/>
              <w:lang w:val="en-US" w:eastAsia="zh-CN" w:bidi="ar-SA"/>
              <w14:ligatures w14: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"_Toc11725"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（三）医疗救治和善后情况</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_Toc11725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16</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color w:val="auto"/>
              <w:highlight w: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"_Toc10644"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（四）事故应急处置评估结论</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_Toc10644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18</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1"/>
            <w:keepNext w:val="0"/>
            <w:keepLines w:val="0"/>
            <w:pageBreakBefore w:val="0"/>
            <w:widowControl w:val="0"/>
            <w:tabs>
              <w:tab w:val="right" w:leader="dot" w:pos="8844"/>
            </w:tabs>
            <w:kinsoku/>
            <w:wordWrap/>
            <w:overflowPunct/>
            <w:topLinePunct w:val="0"/>
            <w:bidi w:val="0"/>
            <w:spacing w:line="360" w:lineRule="exact"/>
            <w:rPr>
              <w:color w:val="auto"/>
              <w:highlight w:val="none"/>
            </w:rPr>
          </w:pPr>
          <w:r>
            <w:rPr>
              <w:rStyle w:val="19"/>
              <w:rFonts w:ascii="宋体" w:hAnsi="宋体" w:cs="方正仿宋_GBK"/>
              <w:b/>
              <w:bCs/>
              <w:kern w:val="2"/>
              <w:sz w:val="28"/>
              <w:szCs w:val="28"/>
              <w14:ligatures w14:val="none"/>
            </w:rPr>
            <w:fldChar w:fldCharType="begin"/>
          </w:r>
          <w:r>
            <w:rPr>
              <w:rStyle w:val="19"/>
              <w:rFonts w:ascii="宋体" w:hAnsi="宋体" w:cs="方正仿宋_GBK"/>
              <w:b/>
              <w:bCs/>
              <w:kern w:val="2"/>
              <w:sz w:val="28"/>
              <w:szCs w:val="28"/>
              <w14:ligatures w14:val="none"/>
            </w:rPr>
            <w:instrText xml:space="preserve"> HYPERLINK \l "_Toc12233" </w:instrText>
          </w:r>
          <w:r>
            <w:rPr>
              <w:rStyle w:val="19"/>
              <w:rFonts w:ascii="宋体" w:hAnsi="宋体" w:cs="方正仿宋_GBK"/>
              <w:b/>
              <w:bCs/>
              <w:kern w:val="2"/>
              <w:sz w:val="28"/>
              <w:szCs w:val="28"/>
              <w14:ligatures w14:val="none"/>
            </w:rPr>
            <w:fldChar w:fldCharType="separate"/>
          </w:r>
          <w:r>
            <w:rPr>
              <w:rStyle w:val="19"/>
              <w:rFonts w:hint="eastAsia" w:ascii="宋体" w:hAnsi="宋体" w:cs="方正仿宋_GBK"/>
              <w:b/>
              <w:bCs/>
              <w:kern w:val="2"/>
              <w:sz w:val="28"/>
              <w:szCs w:val="28"/>
              <w14:ligatures w14:val="none"/>
            </w:rPr>
            <w:t>三</w:t>
          </w:r>
          <w:r>
            <w:rPr>
              <w:rStyle w:val="19"/>
              <w:rFonts w:ascii="宋体" w:hAnsi="宋体" w:cs="方正仿宋_GBK"/>
              <w:b/>
              <w:bCs/>
              <w:kern w:val="2"/>
              <w:sz w:val="28"/>
              <w:szCs w:val="28"/>
              <w14:ligatures w14:val="none"/>
            </w:rPr>
            <w:t>、事故原因分析</w:t>
          </w:r>
          <w:r>
            <w:rPr>
              <w:rStyle w:val="19"/>
              <w:rFonts w:ascii="宋体" w:hAnsi="宋体" w:cs="方正仿宋_GBK"/>
              <w:b/>
              <w:bCs/>
              <w:kern w:val="2"/>
              <w:sz w:val="28"/>
              <w:szCs w:val="28"/>
              <w14:ligatures w14:val="none"/>
            </w:rPr>
            <w:tab/>
          </w:r>
          <w:r>
            <w:rPr>
              <w:rStyle w:val="19"/>
              <w:rFonts w:ascii="宋体" w:hAnsi="宋体" w:cs="方正仿宋_GBK"/>
              <w:b/>
              <w:bCs/>
              <w:kern w:val="2"/>
              <w:sz w:val="28"/>
              <w:szCs w:val="28"/>
              <w14:ligatures w14:val="none"/>
            </w:rPr>
            <w:fldChar w:fldCharType="begin"/>
          </w:r>
          <w:r>
            <w:rPr>
              <w:rStyle w:val="19"/>
              <w:rFonts w:ascii="宋体" w:hAnsi="宋体" w:cs="方正仿宋_GBK"/>
              <w:b/>
              <w:bCs/>
              <w:kern w:val="2"/>
              <w:sz w:val="28"/>
              <w:szCs w:val="28"/>
              <w14:ligatures w14:val="none"/>
            </w:rPr>
            <w:instrText xml:space="preserve"> PAGEREF _Toc12233 \h </w:instrText>
          </w:r>
          <w:r>
            <w:rPr>
              <w:rStyle w:val="19"/>
              <w:rFonts w:ascii="宋体" w:hAnsi="宋体" w:cs="方正仿宋_GBK"/>
              <w:b/>
              <w:bCs/>
              <w:kern w:val="2"/>
              <w:sz w:val="28"/>
              <w:szCs w:val="28"/>
              <w14:ligatures w14:val="none"/>
            </w:rPr>
            <w:fldChar w:fldCharType="separate"/>
          </w:r>
          <w:r>
            <w:rPr>
              <w:rStyle w:val="19"/>
              <w:rFonts w:ascii="宋体" w:hAnsi="宋体" w:cs="方正仿宋_GBK"/>
              <w:b/>
              <w:bCs/>
              <w:kern w:val="2"/>
              <w:sz w:val="28"/>
              <w:szCs w:val="28"/>
              <w14:ligatures w14:val="none"/>
            </w:rPr>
            <w:t>18</w:t>
          </w:r>
          <w:r>
            <w:rPr>
              <w:rStyle w:val="19"/>
              <w:rFonts w:ascii="宋体" w:hAnsi="宋体" w:cs="方正仿宋_GBK"/>
              <w:b/>
              <w:bCs/>
              <w:kern w:val="2"/>
              <w:sz w:val="28"/>
              <w:szCs w:val="28"/>
              <w14:ligatures w14:val="none"/>
            </w:rPr>
            <w:fldChar w:fldCharType="end"/>
          </w:r>
          <w:r>
            <w:rPr>
              <w:rStyle w:val="19"/>
              <w:rFonts w:ascii="宋体" w:hAnsi="宋体" w:cs="方正仿宋_GBK"/>
              <w:b/>
              <w:bCs/>
              <w:kern w:val="2"/>
              <w:sz w:val="28"/>
              <w:szCs w:val="28"/>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rFonts w:ascii="宋体" w:hAnsi="宋体" w:eastAsia="宋体" w:cs="方正仿宋_GBK"/>
              <w:b w:val="0"/>
              <w:bCs/>
              <w:kern w:val="2"/>
              <w:sz w:val="24"/>
              <w:szCs w:val="24"/>
              <w:lang w:val="en-US" w:eastAsia="zh-CN" w:bidi="ar-SA"/>
              <w14:ligatures w14: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"_Toc16637"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（一）直接原因分析</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_Toc16637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18</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rFonts w:ascii="宋体" w:hAnsi="宋体" w:eastAsia="宋体" w:cs="方正仿宋_GBK"/>
              <w:b w:val="0"/>
              <w:bCs/>
              <w:kern w:val="2"/>
              <w:sz w:val="24"/>
              <w:szCs w:val="24"/>
              <w:lang w:val="en-US" w:eastAsia="zh-CN" w:bidi="ar-SA"/>
              <w14:ligatures w14: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"_Toc12437"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（二）事故相关检验检测和鉴定情况</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_Toc12437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19</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rFonts w:ascii="宋体" w:hAnsi="宋体" w:eastAsia="宋体" w:cs="方正仿宋_GBK"/>
              <w:b w:val="0"/>
              <w:bCs/>
              <w:kern w:val="2"/>
              <w:sz w:val="24"/>
              <w:szCs w:val="24"/>
              <w:lang w:val="en-US" w:eastAsia="zh-CN" w:bidi="ar-SA"/>
              <w14:ligatures w14: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"_Toc3107"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（三）其他可能因素排除</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_Toc3107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20</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color w:val="auto"/>
              <w:highlight w: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"_Toc32430"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（四）间接原因分析</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_Toc32430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21</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1"/>
            <w:keepNext w:val="0"/>
            <w:keepLines w:val="0"/>
            <w:pageBreakBefore w:val="0"/>
            <w:widowControl w:val="0"/>
            <w:tabs>
              <w:tab w:val="right" w:leader="dot" w:pos="8844"/>
            </w:tabs>
            <w:kinsoku/>
            <w:wordWrap/>
            <w:overflowPunct/>
            <w:topLinePunct w:val="0"/>
            <w:bidi w:val="0"/>
            <w:spacing w:line="360" w:lineRule="exact"/>
            <w:rPr>
              <w:color w:val="auto"/>
              <w:highlight w:val="none"/>
            </w:rPr>
          </w:pPr>
          <w:r>
            <w:rPr>
              <w:rStyle w:val="19"/>
              <w:rFonts w:ascii="宋体" w:hAnsi="宋体" w:cs="方正仿宋_GBK"/>
              <w:b/>
              <w:bCs/>
              <w:kern w:val="2"/>
              <w:sz w:val="28"/>
              <w:szCs w:val="28"/>
              <w14:ligatures w14:val="none"/>
            </w:rPr>
            <w:fldChar w:fldCharType="begin"/>
          </w:r>
          <w:r>
            <w:rPr>
              <w:rStyle w:val="19"/>
              <w:rFonts w:ascii="宋体" w:hAnsi="宋体" w:cs="方正仿宋_GBK"/>
              <w:b/>
              <w:bCs/>
              <w:kern w:val="2"/>
              <w:sz w:val="28"/>
              <w:szCs w:val="28"/>
              <w14:ligatures w14:val="none"/>
            </w:rPr>
            <w:instrText xml:space="preserve"> HYPERLINK \l "_Toc19162" </w:instrText>
          </w:r>
          <w:r>
            <w:rPr>
              <w:rStyle w:val="19"/>
              <w:rFonts w:ascii="宋体" w:hAnsi="宋体" w:cs="方正仿宋_GBK"/>
              <w:b/>
              <w:bCs/>
              <w:kern w:val="2"/>
              <w:sz w:val="28"/>
              <w:szCs w:val="28"/>
              <w14:ligatures w14:val="none"/>
            </w:rPr>
            <w:fldChar w:fldCharType="separate"/>
          </w:r>
          <w:r>
            <w:rPr>
              <w:rStyle w:val="19"/>
              <w:rFonts w:hint="eastAsia" w:ascii="宋体" w:hAnsi="宋体" w:cs="方正仿宋_GBK"/>
              <w:b/>
              <w:bCs/>
              <w:kern w:val="2"/>
              <w:sz w:val="28"/>
              <w:szCs w:val="28"/>
              <w14:ligatures w14:val="none"/>
            </w:rPr>
            <w:t>四</w:t>
          </w:r>
          <w:r>
            <w:rPr>
              <w:rStyle w:val="19"/>
              <w:rFonts w:ascii="宋体" w:hAnsi="宋体" w:cs="方正仿宋_GBK"/>
              <w:b/>
              <w:bCs/>
              <w:kern w:val="2"/>
              <w:sz w:val="28"/>
              <w:szCs w:val="28"/>
              <w14:ligatures w14:val="none"/>
            </w:rPr>
            <w:t>、</w:t>
          </w:r>
          <w:r>
            <w:rPr>
              <w:rStyle w:val="19"/>
              <w:rFonts w:hint="eastAsia" w:ascii="宋体" w:hAnsi="宋体" w:cs="方正仿宋_GBK"/>
              <w:b/>
              <w:bCs/>
              <w:kern w:val="2"/>
              <w:sz w:val="28"/>
              <w:szCs w:val="28"/>
              <w14:ligatures w14:val="none"/>
            </w:rPr>
            <w:t>相</w:t>
          </w:r>
          <w:r>
            <w:rPr>
              <w:rStyle w:val="19"/>
              <w:rFonts w:ascii="宋体" w:hAnsi="宋体" w:cs="方正仿宋_GBK"/>
              <w:b/>
              <w:bCs/>
              <w:kern w:val="2"/>
              <w:sz w:val="28"/>
              <w:szCs w:val="28"/>
              <w14:ligatures w14:val="none"/>
            </w:rPr>
            <w:t>关责任单位</w:t>
          </w:r>
          <w:r>
            <w:rPr>
              <w:rStyle w:val="19"/>
              <w:rFonts w:hint="eastAsia" w:ascii="宋体" w:hAnsi="宋体" w:cs="方正仿宋_GBK"/>
              <w:b/>
              <w:bCs/>
              <w:kern w:val="2"/>
              <w:sz w:val="28"/>
              <w:szCs w:val="28"/>
              <w14:ligatures w14:val="none"/>
            </w:rPr>
            <w:t>及个人</w:t>
          </w:r>
          <w:r>
            <w:rPr>
              <w:rStyle w:val="19"/>
              <w:rFonts w:ascii="宋体" w:hAnsi="宋体" w:cs="方正仿宋_GBK"/>
              <w:b/>
              <w:bCs/>
              <w:kern w:val="2"/>
              <w:sz w:val="28"/>
              <w:szCs w:val="28"/>
              <w14:ligatures w14:val="none"/>
            </w:rPr>
            <w:t>存在的主要问题</w:t>
          </w:r>
          <w:r>
            <w:rPr>
              <w:rStyle w:val="19"/>
              <w:rFonts w:ascii="宋体" w:hAnsi="宋体" w:cs="方正仿宋_GBK"/>
              <w:b/>
              <w:bCs/>
              <w:kern w:val="2"/>
              <w:sz w:val="28"/>
              <w:szCs w:val="28"/>
              <w14:ligatures w14:val="none"/>
            </w:rPr>
            <w:tab/>
          </w:r>
          <w:r>
            <w:rPr>
              <w:rStyle w:val="19"/>
              <w:rFonts w:ascii="宋体" w:hAnsi="宋体" w:cs="方正仿宋_GBK"/>
              <w:b/>
              <w:bCs/>
              <w:kern w:val="2"/>
              <w:sz w:val="28"/>
              <w:szCs w:val="28"/>
              <w14:ligatures w14:val="none"/>
            </w:rPr>
            <w:fldChar w:fldCharType="begin"/>
          </w:r>
          <w:r>
            <w:rPr>
              <w:rStyle w:val="19"/>
              <w:rFonts w:ascii="宋体" w:hAnsi="宋体" w:cs="方正仿宋_GBK"/>
              <w:b/>
              <w:bCs/>
              <w:kern w:val="2"/>
              <w:sz w:val="28"/>
              <w:szCs w:val="28"/>
              <w14:ligatures w14:val="none"/>
            </w:rPr>
            <w:instrText xml:space="preserve"> PAGEREF _Toc19162 \h </w:instrText>
          </w:r>
          <w:r>
            <w:rPr>
              <w:rStyle w:val="19"/>
              <w:rFonts w:ascii="宋体" w:hAnsi="宋体" w:cs="方正仿宋_GBK"/>
              <w:b/>
              <w:bCs/>
              <w:kern w:val="2"/>
              <w:sz w:val="28"/>
              <w:szCs w:val="28"/>
              <w14:ligatures w14:val="none"/>
            </w:rPr>
            <w:fldChar w:fldCharType="separate"/>
          </w:r>
          <w:r>
            <w:rPr>
              <w:rStyle w:val="19"/>
              <w:rFonts w:ascii="宋体" w:hAnsi="宋体" w:cs="方正仿宋_GBK"/>
              <w:b/>
              <w:bCs/>
              <w:kern w:val="2"/>
              <w:sz w:val="28"/>
              <w:szCs w:val="28"/>
              <w14:ligatures w14:val="none"/>
            </w:rPr>
            <w:t>23</w:t>
          </w:r>
          <w:r>
            <w:rPr>
              <w:rStyle w:val="19"/>
              <w:rFonts w:ascii="宋体" w:hAnsi="宋体" w:cs="方正仿宋_GBK"/>
              <w:b/>
              <w:bCs/>
              <w:kern w:val="2"/>
              <w:sz w:val="28"/>
              <w:szCs w:val="28"/>
              <w14:ligatures w14:val="none"/>
            </w:rPr>
            <w:fldChar w:fldCharType="end"/>
          </w:r>
          <w:r>
            <w:rPr>
              <w:rStyle w:val="19"/>
              <w:rFonts w:ascii="宋体" w:hAnsi="宋体" w:cs="方正仿宋_GBK"/>
              <w:b/>
              <w:bCs/>
              <w:kern w:val="2"/>
              <w:sz w:val="28"/>
              <w:szCs w:val="28"/>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rFonts w:ascii="宋体" w:hAnsi="宋体" w:eastAsia="宋体" w:cs="方正仿宋_GBK"/>
              <w:b w:val="0"/>
              <w:bCs/>
              <w:kern w:val="2"/>
              <w:sz w:val="24"/>
              <w:szCs w:val="24"/>
              <w:lang w:val="en-US" w:eastAsia="zh-CN" w:bidi="ar-SA"/>
              <w14:ligatures w14: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"_Toc8350"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（一）事故相关责任单位及个人存在的问题</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_Toc8350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23</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color w:val="auto"/>
              <w:highlight w: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"_Toc16236"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（二）本次事故不承担责任的单位及个人的情况说明</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_Toc16236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26</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1"/>
            <w:keepNext w:val="0"/>
            <w:keepLines w:val="0"/>
            <w:pageBreakBefore w:val="0"/>
            <w:widowControl w:val="0"/>
            <w:tabs>
              <w:tab w:val="right" w:leader="dot" w:pos="8844"/>
            </w:tabs>
            <w:kinsoku/>
            <w:wordWrap/>
            <w:overflowPunct/>
            <w:topLinePunct w:val="0"/>
            <w:bidi w:val="0"/>
            <w:spacing w:line="360" w:lineRule="exact"/>
            <w:rPr>
              <w:color w:val="auto"/>
              <w:highlight w:val="none"/>
            </w:rPr>
          </w:pPr>
          <w:r>
            <w:rPr>
              <w:rStyle w:val="19"/>
              <w:rFonts w:ascii="宋体" w:hAnsi="宋体" w:cs="方正仿宋_GBK"/>
              <w:b/>
              <w:bCs/>
              <w:kern w:val="2"/>
              <w:sz w:val="28"/>
              <w:szCs w:val="28"/>
              <w14:ligatures w14:val="none"/>
            </w:rPr>
            <w:fldChar w:fldCharType="begin"/>
          </w:r>
          <w:r>
            <w:rPr>
              <w:rStyle w:val="19"/>
              <w:rFonts w:ascii="宋体" w:hAnsi="宋体" w:cs="方正仿宋_GBK"/>
              <w:b/>
              <w:bCs/>
              <w:kern w:val="2"/>
              <w:sz w:val="28"/>
              <w:szCs w:val="28"/>
              <w14:ligatures w14:val="none"/>
            </w:rPr>
            <w:instrText xml:space="preserve"> HYPERLINK \l "_Toc21985" </w:instrText>
          </w:r>
          <w:r>
            <w:rPr>
              <w:rStyle w:val="19"/>
              <w:rFonts w:ascii="宋体" w:hAnsi="宋体" w:cs="方正仿宋_GBK"/>
              <w:b/>
              <w:bCs/>
              <w:kern w:val="2"/>
              <w:sz w:val="28"/>
              <w:szCs w:val="28"/>
              <w14:ligatures w14:val="none"/>
            </w:rPr>
            <w:fldChar w:fldCharType="separate"/>
          </w:r>
          <w:r>
            <w:rPr>
              <w:rStyle w:val="19"/>
              <w:rFonts w:hint="eastAsia" w:ascii="宋体" w:hAnsi="宋体" w:cs="方正仿宋_GBK"/>
              <w:b/>
              <w:bCs/>
              <w:kern w:val="2"/>
              <w:sz w:val="28"/>
              <w:szCs w:val="28"/>
              <w14:ligatures w14:val="none"/>
            </w:rPr>
            <w:t>五、对有关责任人员和责任单位的处理建议</w:t>
          </w:r>
          <w:r>
            <w:rPr>
              <w:rStyle w:val="19"/>
              <w:rFonts w:ascii="宋体" w:hAnsi="宋体" w:cs="方正仿宋_GBK"/>
              <w:b/>
              <w:bCs/>
              <w:kern w:val="2"/>
              <w:sz w:val="28"/>
              <w:szCs w:val="28"/>
              <w14:ligatures w14:val="none"/>
            </w:rPr>
            <w:tab/>
          </w:r>
          <w:r>
            <w:rPr>
              <w:rStyle w:val="19"/>
              <w:rFonts w:ascii="宋体" w:hAnsi="宋体" w:cs="方正仿宋_GBK"/>
              <w:b/>
              <w:bCs/>
              <w:kern w:val="2"/>
              <w:sz w:val="28"/>
              <w:szCs w:val="28"/>
              <w14:ligatures w14:val="none"/>
            </w:rPr>
            <w:fldChar w:fldCharType="begin"/>
          </w:r>
          <w:r>
            <w:rPr>
              <w:rStyle w:val="19"/>
              <w:rFonts w:ascii="宋体" w:hAnsi="宋体" w:cs="方正仿宋_GBK"/>
              <w:b/>
              <w:bCs/>
              <w:kern w:val="2"/>
              <w:sz w:val="28"/>
              <w:szCs w:val="28"/>
              <w14:ligatures w14:val="none"/>
            </w:rPr>
            <w:instrText xml:space="preserve"> PAGEREF _Toc21985 \h </w:instrText>
          </w:r>
          <w:r>
            <w:rPr>
              <w:rStyle w:val="19"/>
              <w:rFonts w:ascii="宋体" w:hAnsi="宋体" w:cs="方正仿宋_GBK"/>
              <w:b/>
              <w:bCs/>
              <w:kern w:val="2"/>
              <w:sz w:val="28"/>
              <w:szCs w:val="28"/>
              <w14:ligatures w14:val="none"/>
            </w:rPr>
            <w:fldChar w:fldCharType="separate"/>
          </w:r>
          <w:r>
            <w:rPr>
              <w:rStyle w:val="19"/>
              <w:rFonts w:ascii="宋体" w:hAnsi="宋体" w:cs="方正仿宋_GBK"/>
              <w:b/>
              <w:bCs/>
              <w:kern w:val="2"/>
              <w:sz w:val="28"/>
              <w:szCs w:val="28"/>
              <w14:ligatures w14:val="none"/>
            </w:rPr>
            <w:t>29</w:t>
          </w:r>
          <w:r>
            <w:rPr>
              <w:rStyle w:val="19"/>
              <w:rFonts w:ascii="宋体" w:hAnsi="宋体" w:cs="方正仿宋_GBK"/>
              <w:b/>
              <w:bCs/>
              <w:kern w:val="2"/>
              <w:sz w:val="28"/>
              <w:szCs w:val="28"/>
              <w14:ligatures w14:val="none"/>
            </w:rPr>
            <w:fldChar w:fldCharType="end"/>
          </w:r>
          <w:r>
            <w:rPr>
              <w:rStyle w:val="19"/>
              <w:rFonts w:ascii="宋体" w:hAnsi="宋体" w:cs="方正仿宋_GBK"/>
              <w:b/>
              <w:bCs/>
              <w:kern w:val="2"/>
              <w:sz w:val="28"/>
              <w:szCs w:val="28"/>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rFonts w:ascii="宋体" w:hAnsi="宋体" w:eastAsia="宋体" w:cs="方正仿宋_GBK"/>
              <w:b w:val="0"/>
              <w:bCs/>
              <w:kern w:val="2"/>
              <w:sz w:val="24"/>
              <w:szCs w:val="24"/>
              <w:lang w:val="en-US" w:eastAsia="zh-CN" w:bidi="ar-SA"/>
              <w14:ligatures w14: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"_Toc86"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（一）因在事故中死亡免予或不予追究责任人员</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_Toc86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30</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rFonts w:ascii="宋体" w:hAnsi="宋体" w:eastAsia="宋体" w:cs="方正仿宋_GBK"/>
              <w:b w:val="0"/>
              <w:bCs/>
              <w:kern w:val="2"/>
              <w:sz w:val="24"/>
              <w:szCs w:val="24"/>
              <w:lang w:val="en-US" w:eastAsia="zh-CN" w:bidi="ar-SA"/>
              <w14:ligatures w14: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"_Toc9260"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（二）建议免于追究责任人员</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_Toc9260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30</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rFonts w:ascii="宋体" w:hAnsi="宋体" w:eastAsia="宋体" w:cs="方正仿宋_GBK"/>
              <w:b w:val="0"/>
              <w:bCs/>
              <w:kern w:val="2"/>
              <w:sz w:val="24"/>
              <w:szCs w:val="24"/>
              <w:lang w:val="en-US" w:eastAsia="zh-CN" w:bidi="ar-SA"/>
              <w14:ligatures w14: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"_Toc18682"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（三）对事故有关责任人员的行政处罚建议</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_Toc18682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31</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color w:val="auto"/>
              <w:highlight w: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"_Toc31697"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（四）对事故有关责任单位的行政处罚建议</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_Toc31697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32</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1"/>
            <w:keepNext w:val="0"/>
            <w:keepLines w:val="0"/>
            <w:pageBreakBefore w:val="0"/>
            <w:widowControl w:val="0"/>
            <w:tabs>
              <w:tab w:val="right" w:leader="dot" w:pos="8844"/>
            </w:tabs>
            <w:kinsoku/>
            <w:wordWrap/>
            <w:overflowPunct/>
            <w:topLinePunct w:val="0"/>
            <w:bidi w:val="0"/>
            <w:spacing w:line="360" w:lineRule="exact"/>
            <w:rPr>
              <w:color w:val="auto"/>
              <w:highlight w:val="none"/>
            </w:rPr>
          </w:pPr>
          <w:r>
            <w:rPr>
              <w:rStyle w:val="19"/>
              <w:rFonts w:ascii="宋体" w:hAnsi="宋体" w:cs="方正仿宋_GBK"/>
              <w:b/>
              <w:bCs/>
              <w:kern w:val="2"/>
              <w:sz w:val="28"/>
              <w:szCs w:val="28"/>
              <w14:ligatures w14:val="none"/>
            </w:rPr>
            <w:fldChar w:fldCharType="begin"/>
          </w:r>
          <w:r>
            <w:rPr>
              <w:rStyle w:val="19"/>
              <w:rFonts w:ascii="宋体" w:hAnsi="宋体" w:cs="方正仿宋_GBK"/>
              <w:b/>
              <w:bCs/>
              <w:kern w:val="2"/>
              <w:sz w:val="28"/>
              <w:szCs w:val="28"/>
              <w14:ligatures w14:val="none"/>
            </w:rPr>
            <w:instrText xml:space="preserve"> HYPERLINK \l "_Toc18674" </w:instrText>
          </w:r>
          <w:r>
            <w:rPr>
              <w:rStyle w:val="19"/>
              <w:rFonts w:ascii="宋体" w:hAnsi="宋体" w:cs="方正仿宋_GBK"/>
              <w:b/>
              <w:bCs/>
              <w:kern w:val="2"/>
              <w:sz w:val="28"/>
              <w:szCs w:val="28"/>
              <w14:ligatures w14:val="none"/>
            </w:rPr>
            <w:fldChar w:fldCharType="separate"/>
          </w:r>
          <w:r>
            <w:rPr>
              <w:rStyle w:val="19"/>
              <w:rFonts w:hint="eastAsia" w:ascii="宋体" w:hAnsi="宋体" w:cs="方正仿宋_GBK"/>
              <w:b/>
              <w:bCs/>
              <w:kern w:val="2"/>
              <w:sz w:val="28"/>
              <w:szCs w:val="28"/>
              <w14:ligatures w14:val="none"/>
            </w:rPr>
            <w:t>六</w:t>
          </w:r>
          <w:r>
            <w:rPr>
              <w:rStyle w:val="19"/>
              <w:rFonts w:ascii="宋体" w:hAnsi="宋体" w:cs="方正仿宋_GBK"/>
              <w:b/>
              <w:bCs/>
              <w:kern w:val="2"/>
              <w:sz w:val="28"/>
              <w:szCs w:val="28"/>
              <w14:ligatures w14:val="none"/>
            </w:rPr>
            <w:t>、事故主要教训</w:t>
          </w:r>
          <w:r>
            <w:rPr>
              <w:rStyle w:val="19"/>
              <w:rFonts w:ascii="宋体" w:hAnsi="宋体" w:cs="方正仿宋_GBK"/>
              <w:b/>
              <w:bCs/>
              <w:kern w:val="2"/>
              <w:sz w:val="28"/>
              <w:szCs w:val="28"/>
              <w14:ligatures w14:val="none"/>
            </w:rPr>
            <w:tab/>
          </w:r>
          <w:r>
            <w:rPr>
              <w:rStyle w:val="19"/>
              <w:rFonts w:ascii="宋体" w:hAnsi="宋体" w:cs="方正仿宋_GBK"/>
              <w:b/>
              <w:bCs/>
              <w:kern w:val="2"/>
              <w:sz w:val="28"/>
              <w:szCs w:val="28"/>
              <w14:ligatures w14:val="none"/>
            </w:rPr>
            <w:fldChar w:fldCharType="begin"/>
          </w:r>
          <w:r>
            <w:rPr>
              <w:rStyle w:val="19"/>
              <w:rFonts w:ascii="宋体" w:hAnsi="宋体" w:cs="方正仿宋_GBK"/>
              <w:b/>
              <w:bCs/>
              <w:kern w:val="2"/>
              <w:sz w:val="28"/>
              <w:szCs w:val="28"/>
              <w14:ligatures w14:val="none"/>
            </w:rPr>
            <w:instrText xml:space="preserve"> PAGEREF _Toc18674 \h </w:instrText>
          </w:r>
          <w:r>
            <w:rPr>
              <w:rStyle w:val="19"/>
              <w:rFonts w:ascii="宋体" w:hAnsi="宋体" w:cs="方正仿宋_GBK"/>
              <w:b/>
              <w:bCs/>
              <w:kern w:val="2"/>
              <w:sz w:val="28"/>
              <w:szCs w:val="28"/>
              <w14:ligatures w14:val="none"/>
            </w:rPr>
            <w:fldChar w:fldCharType="separate"/>
          </w:r>
          <w:r>
            <w:rPr>
              <w:rStyle w:val="19"/>
              <w:rFonts w:ascii="宋体" w:hAnsi="宋体" w:cs="方正仿宋_GBK"/>
              <w:b/>
              <w:bCs/>
              <w:kern w:val="2"/>
              <w:sz w:val="28"/>
              <w:szCs w:val="28"/>
              <w14:ligatures w14:val="none"/>
            </w:rPr>
            <w:t>38</w:t>
          </w:r>
          <w:r>
            <w:rPr>
              <w:rStyle w:val="19"/>
              <w:rFonts w:ascii="宋体" w:hAnsi="宋体" w:cs="方正仿宋_GBK"/>
              <w:b/>
              <w:bCs/>
              <w:kern w:val="2"/>
              <w:sz w:val="28"/>
              <w:szCs w:val="28"/>
              <w14:ligatures w14:val="none"/>
            </w:rPr>
            <w:fldChar w:fldCharType="end"/>
          </w:r>
          <w:r>
            <w:rPr>
              <w:rStyle w:val="19"/>
              <w:rFonts w:ascii="宋体" w:hAnsi="宋体" w:cs="方正仿宋_GBK"/>
              <w:b/>
              <w:bCs/>
              <w:kern w:val="2"/>
              <w:sz w:val="28"/>
              <w:szCs w:val="28"/>
              <w14:ligatures w14:val="none"/>
            </w:rPr>
            <w:fldChar w:fldCharType="end"/>
          </w:r>
        </w:p>
        <w:p>
          <w:pPr>
            <w:pStyle w:val="11"/>
            <w:keepNext w:val="0"/>
            <w:keepLines w:val="0"/>
            <w:pageBreakBefore w:val="0"/>
            <w:widowControl w:val="0"/>
            <w:tabs>
              <w:tab w:val="right" w:leader="dot" w:pos="8844"/>
            </w:tabs>
            <w:kinsoku/>
            <w:wordWrap/>
            <w:overflowPunct/>
            <w:topLinePunct w:val="0"/>
            <w:bidi w:val="0"/>
            <w:spacing w:line="360" w:lineRule="exact"/>
            <w:rPr>
              <w:color w:val="auto"/>
              <w:highlight w:val="none"/>
            </w:rPr>
          </w:pPr>
          <w:r>
            <w:rPr>
              <w:rStyle w:val="19"/>
              <w:rFonts w:ascii="宋体" w:hAnsi="宋体" w:cs="方正仿宋_GBK"/>
              <w:b/>
              <w:bCs/>
              <w:kern w:val="2"/>
              <w:sz w:val="28"/>
              <w:szCs w:val="28"/>
              <w14:ligatures w14:val="none"/>
            </w:rPr>
            <w:fldChar w:fldCharType="begin"/>
          </w:r>
          <w:r>
            <w:rPr>
              <w:rStyle w:val="19"/>
              <w:rFonts w:ascii="宋体" w:hAnsi="宋体" w:cs="方正仿宋_GBK"/>
              <w:b/>
              <w:bCs/>
              <w:kern w:val="2"/>
              <w:sz w:val="28"/>
              <w:szCs w:val="28"/>
              <w14:ligatures w14:val="none"/>
            </w:rPr>
            <w:instrText xml:space="preserve"> HYPERLINK \l "_Toc5201" </w:instrText>
          </w:r>
          <w:r>
            <w:rPr>
              <w:rStyle w:val="19"/>
              <w:rFonts w:ascii="宋体" w:hAnsi="宋体" w:cs="方正仿宋_GBK"/>
              <w:b/>
              <w:bCs/>
              <w:kern w:val="2"/>
              <w:sz w:val="28"/>
              <w:szCs w:val="28"/>
              <w14:ligatures w14:val="none"/>
            </w:rPr>
            <w:fldChar w:fldCharType="separate"/>
          </w:r>
          <w:r>
            <w:rPr>
              <w:rStyle w:val="19"/>
              <w:rFonts w:hint="eastAsia" w:ascii="宋体" w:hAnsi="宋体" w:cs="方正仿宋_GBK"/>
              <w:b/>
              <w:bCs/>
              <w:kern w:val="2"/>
              <w:sz w:val="28"/>
              <w:szCs w:val="28"/>
              <w14:ligatures w14:val="none"/>
            </w:rPr>
            <w:t>七、事故整改和防范措施</w:t>
          </w:r>
          <w:r>
            <w:rPr>
              <w:rStyle w:val="19"/>
              <w:rFonts w:ascii="宋体" w:hAnsi="宋体" w:cs="方正仿宋_GBK"/>
              <w:b/>
              <w:bCs/>
              <w:kern w:val="2"/>
              <w:sz w:val="28"/>
              <w:szCs w:val="28"/>
              <w14:ligatures w14:val="none"/>
            </w:rPr>
            <w:tab/>
          </w:r>
          <w:r>
            <w:rPr>
              <w:rStyle w:val="19"/>
              <w:rFonts w:ascii="宋体" w:hAnsi="宋体" w:cs="方正仿宋_GBK"/>
              <w:b/>
              <w:bCs/>
              <w:kern w:val="2"/>
              <w:sz w:val="28"/>
              <w:szCs w:val="28"/>
              <w14:ligatures w14:val="none"/>
            </w:rPr>
            <w:fldChar w:fldCharType="begin"/>
          </w:r>
          <w:r>
            <w:rPr>
              <w:rStyle w:val="19"/>
              <w:rFonts w:ascii="宋体" w:hAnsi="宋体" w:cs="方正仿宋_GBK"/>
              <w:b/>
              <w:bCs/>
              <w:kern w:val="2"/>
              <w:sz w:val="28"/>
              <w:szCs w:val="28"/>
              <w14:ligatures w14:val="none"/>
            </w:rPr>
            <w:instrText xml:space="preserve"> PAGEREF _Toc5201 \h </w:instrText>
          </w:r>
          <w:r>
            <w:rPr>
              <w:rStyle w:val="19"/>
              <w:rFonts w:ascii="宋体" w:hAnsi="宋体" w:cs="方正仿宋_GBK"/>
              <w:b/>
              <w:bCs/>
              <w:kern w:val="2"/>
              <w:sz w:val="28"/>
              <w:szCs w:val="28"/>
              <w14:ligatures w14:val="none"/>
            </w:rPr>
            <w:fldChar w:fldCharType="separate"/>
          </w:r>
          <w:r>
            <w:rPr>
              <w:rStyle w:val="19"/>
              <w:rFonts w:ascii="宋体" w:hAnsi="宋体" w:cs="方正仿宋_GBK"/>
              <w:b/>
              <w:bCs/>
              <w:kern w:val="2"/>
              <w:sz w:val="28"/>
              <w:szCs w:val="28"/>
              <w14:ligatures w14:val="none"/>
            </w:rPr>
            <w:t>39</w:t>
          </w:r>
          <w:r>
            <w:rPr>
              <w:rStyle w:val="19"/>
              <w:rFonts w:ascii="宋体" w:hAnsi="宋体" w:cs="方正仿宋_GBK"/>
              <w:b/>
              <w:bCs/>
              <w:kern w:val="2"/>
              <w:sz w:val="28"/>
              <w:szCs w:val="28"/>
              <w14:ligatures w14:val="none"/>
            </w:rPr>
            <w:fldChar w:fldCharType="end"/>
          </w:r>
          <w:r>
            <w:rPr>
              <w:rStyle w:val="19"/>
              <w:rFonts w:ascii="宋体" w:hAnsi="宋体" w:cs="方正仿宋_GBK"/>
              <w:b/>
              <w:bCs/>
              <w:kern w:val="2"/>
              <w:sz w:val="28"/>
              <w:szCs w:val="28"/>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rFonts w:ascii="宋体" w:hAnsi="宋体" w:eastAsia="宋体" w:cs="方正仿宋_GBK"/>
              <w:b w:val="0"/>
              <w:bCs/>
              <w:kern w:val="2"/>
              <w:sz w:val="24"/>
              <w:szCs w:val="24"/>
              <w:lang w:val="en-US" w:eastAsia="zh-CN" w:bidi="ar-SA"/>
              <w14:ligatures w14: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"_Toc12001"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（一）压实各类经营主体安全生产主体责任</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_Toc12001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39</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rFonts w:ascii="宋体" w:hAnsi="宋体" w:eastAsia="宋体" w:cs="方正仿宋_GBK"/>
              <w:b w:val="0"/>
              <w:bCs/>
              <w:kern w:val="2"/>
              <w:sz w:val="24"/>
              <w:szCs w:val="24"/>
              <w:lang w:val="en-US" w:eastAsia="zh-CN" w:bidi="ar-SA"/>
              <w14:ligatures w14: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"_Toc27221"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（二）健全跨部门协同监管机制，消除监管盲区</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_Toc27221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40</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rFonts w:ascii="宋体" w:hAnsi="宋体" w:eastAsia="宋体" w:cs="方正仿宋_GBK"/>
              <w:b w:val="0"/>
              <w:bCs/>
              <w:kern w:val="2"/>
              <w:sz w:val="24"/>
              <w:szCs w:val="24"/>
              <w:lang w:val="en-US" w:eastAsia="zh-CN" w:bidi="ar-SA"/>
              <w14:ligatures w14: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"_Toc21246"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（三）夯实属地基层网格化风险防控基础</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_Toc21246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40</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pStyle w:val="13"/>
            <w:keepNext w:val="0"/>
            <w:keepLines w:val="0"/>
            <w:pageBreakBefore w:val="0"/>
            <w:widowControl w:val="0"/>
            <w:tabs>
              <w:tab w:val="right" w:leader="dot" w:pos="8844"/>
            </w:tabs>
            <w:kinsoku/>
            <w:wordWrap/>
            <w:overflowPunct/>
            <w:topLinePunct w:val="0"/>
            <w:bidi w:val="0"/>
            <w:spacing w:line="360" w:lineRule="exact"/>
            <w:rPr>
              <w:color w:val="auto"/>
              <w:highlight w:val="none"/>
            </w:rPr>
          </w:pP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HYPERLINK \l "_Toc21161" </w:instrText>
          </w:r>
          <w:r>
            <w:rPr>
              <w:rFonts w:ascii="宋体" w:hAnsi="宋体" w:eastAsia="宋体" w:cs="方正仿宋_GBK"/>
              <w:b w:val="0"/>
              <w:bCs/>
              <w:kern w:val="2"/>
              <w:sz w:val="24"/>
              <w:szCs w:val="24"/>
              <w:lang w:val="en-US" w:eastAsia="zh-CN" w:bidi="ar-SA"/>
              <w14:ligatures w14:val="none"/>
            </w:rPr>
            <w:fldChar w:fldCharType="separate"/>
          </w:r>
          <w:r>
            <w:rPr>
              <w:rFonts w:hint="eastAsia" w:ascii="宋体" w:hAnsi="宋体" w:eastAsia="宋体" w:cs="方正仿宋_GBK"/>
              <w:b w:val="0"/>
              <w:bCs/>
              <w:kern w:val="2"/>
              <w:sz w:val="24"/>
              <w:szCs w:val="24"/>
              <w:lang w:val="en-US" w:eastAsia="zh-CN" w:bidi="ar-SA"/>
              <w14:ligatures w14:val="none"/>
            </w:rPr>
            <w:t>（四）强化安全宣传教育与技术管控</w:t>
          </w:r>
          <w:r>
            <w:rPr>
              <w:rFonts w:ascii="宋体" w:hAnsi="宋体" w:eastAsia="宋体" w:cs="方正仿宋_GBK"/>
              <w:b w:val="0"/>
              <w:bCs/>
              <w:kern w:val="2"/>
              <w:sz w:val="24"/>
              <w:szCs w:val="24"/>
              <w:lang w:val="en-US" w:eastAsia="zh-CN" w:bidi="ar-SA"/>
              <w14:ligatures w14:val="none"/>
            </w:rPr>
            <w:tab/>
          </w:r>
          <w:r>
            <w:rPr>
              <w:rFonts w:ascii="宋体" w:hAnsi="宋体" w:eastAsia="宋体" w:cs="方正仿宋_GBK"/>
              <w:b w:val="0"/>
              <w:bCs/>
              <w:kern w:val="2"/>
              <w:sz w:val="24"/>
              <w:szCs w:val="24"/>
              <w:lang w:val="en-US" w:eastAsia="zh-CN" w:bidi="ar-SA"/>
              <w14:ligatures w14:val="none"/>
            </w:rPr>
            <w:fldChar w:fldCharType="begin"/>
          </w:r>
          <w:r>
            <w:rPr>
              <w:rFonts w:ascii="宋体" w:hAnsi="宋体" w:eastAsia="宋体" w:cs="方正仿宋_GBK"/>
              <w:b w:val="0"/>
              <w:bCs/>
              <w:kern w:val="2"/>
              <w:sz w:val="24"/>
              <w:szCs w:val="24"/>
              <w:lang w:val="en-US" w:eastAsia="zh-CN" w:bidi="ar-SA"/>
              <w14:ligatures w14:val="none"/>
            </w:rPr>
            <w:instrText xml:space="preserve"> PAGEREF _Toc21161 \h </w:instrText>
          </w:r>
          <w:r>
            <w:rPr>
              <w:rFonts w:ascii="宋体" w:hAnsi="宋体" w:eastAsia="宋体" w:cs="方正仿宋_GBK"/>
              <w:b w:val="0"/>
              <w:bCs/>
              <w:kern w:val="2"/>
              <w:sz w:val="24"/>
              <w:szCs w:val="24"/>
              <w:lang w:val="en-US" w:eastAsia="zh-CN" w:bidi="ar-SA"/>
              <w14:ligatures w14:val="none"/>
            </w:rPr>
            <w:fldChar w:fldCharType="separate"/>
          </w:r>
          <w:r>
            <w:rPr>
              <w:rFonts w:ascii="宋体" w:hAnsi="宋体" w:eastAsia="宋体" w:cs="方正仿宋_GBK"/>
              <w:b w:val="0"/>
              <w:bCs/>
              <w:kern w:val="2"/>
              <w:sz w:val="24"/>
              <w:szCs w:val="24"/>
              <w:lang w:val="en-US" w:eastAsia="zh-CN" w:bidi="ar-SA"/>
              <w14:ligatures w14:val="none"/>
            </w:rPr>
            <w:t>41</w:t>
          </w:r>
          <w:r>
            <w:rPr>
              <w:rFonts w:ascii="宋体" w:hAnsi="宋体" w:eastAsia="宋体" w:cs="方正仿宋_GBK"/>
              <w:b w:val="0"/>
              <w:bCs/>
              <w:kern w:val="2"/>
              <w:sz w:val="24"/>
              <w:szCs w:val="24"/>
              <w:lang w:val="en-US" w:eastAsia="zh-CN" w:bidi="ar-SA"/>
              <w14:ligatures w14:val="none"/>
            </w:rPr>
            <w:fldChar w:fldCharType="end"/>
          </w:r>
          <w:r>
            <w:rPr>
              <w:rFonts w:ascii="宋体" w:hAnsi="宋体" w:eastAsia="宋体" w:cs="方正仿宋_GBK"/>
              <w:b w:val="0"/>
              <w:bCs/>
              <w:kern w:val="2"/>
              <w:sz w:val="24"/>
              <w:szCs w:val="24"/>
              <w:lang w:val="en-US" w:eastAsia="zh-CN" w:bidi="ar-SA"/>
              <w14:ligatures w14:val="none"/>
            </w:rPr>
            <w:fldChar w:fldCharType="end"/>
          </w:r>
        </w:p>
        <w:p>
          <w:pPr>
            <w:keepNext w:val="0"/>
            <w:keepLines w:val="0"/>
            <w:pageBreakBefore w:val="0"/>
            <w:widowControl w:val="0"/>
            <w:kinsoku/>
            <w:wordWrap/>
            <w:overflowPunct/>
            <w:topLinePunct w:val="0"/>
            <w:autoSpaceDE w:val="0"/>
            <w:autoSpaceDN w:val="0"/>
            <w:bidi w:val="0"/>
            <w:adjustRightInd w:val="0"/>
            <w:snapToGrid w:val="0"/>
            <w:spacing w:line="360" w:lineRule="exact"/>
            <w:ind w:firstLine="420" w:firstLineChars="200"/>
            <w:textAlignment w:val="baseline"/>
            <w:rPr>
              <w:rFonts w:hint="eastAsia" w:ascii="方正仿宋_GB2312" w:hAnsi="方正仿宋_GB2312" w:eastAsia="方正仿宋_GB2312" w:cs="方正仿宋_GB2312"/>
              <w:snapToGrid w:val="0"/>
              <w:color w:val="auto"/>
              <w:sz w:val="32"/>
              <w:szCs w:val="32"/>
              <w:highlight w:val="none"/>
            </w:rPr>
            <w:sectPr>
              <w:pgSz w:w="11905" w:h="16840"/>
              <w:pgMar w:top="2098" w:right="1474" w:bottom="1984" w:left="1587" w:header="720" w:footer="720" w:gutter="0"/>
              <w:pgNumType w:start="1"/>
              <w:cols w:space="720" w:num="1"/>
            </w:sectPr>
          </w:pPr>
          <w:r>
            <w:rPr>
              <w:rFonts w:hint="eastAsia" w:ascii="方正仿宋_GB2312" w:hAnsi="方正仿宋_GB2312" w:eastAsia="方正仿宋_GB2312" w:cs="方正仿宋_GB2312"/>
              <w:snapToGrid w:val="0"/>
              <w:color w:val="auto"/>
              <w:szCs w:val="32"/>
              <w:highlight w:val="none"/>
            </w:rPr>
            <w:fldChar w:fldCharType="end"/>
          </w:r>
        </w:p>
      </w:sdtContent>
    </w:sdt>
    <w:p>
      <w:pPr>
        <w:spacing w:line="560" w:lineRule="exact"/>
        <w:jc w:val="center"/>
        <w:rPr>
          <w:rFonts w:hint="eastAsia" w:ascii="宋体" w:hAnsi="宋体" w:cs="Times New Roman"/>
          <w:b/>
          <w:bCs/>
          <w:color w:val="000000"/>
          <w:kern w:val="2"/>
          <w:sz w:val="44"/>
          <w:szCs w:val="44"/>
          <w14:ligatures w14:val="none"/>
        </w:rPr>
      </w:pPr>
      <w:r>
        <w:rPr>
          <w:rFonts w:hint="eastAsia" w:ascii="宋体" w:hAnsi="宋体" w:cs="Times New Roman"/>
          <w:b/>
          <w:bCs/>
          <w:color w:val="000000"/>
          <w:kern w:val="2"/>
          <w:sz w:val="44"/>
          <w:szCs w:val="44"/>
          <w14:ligatures w14:val="none"/>
        </w:rPr>
        <w:t>天涯凤凰岛海域摩托艇碰撞</w:t>
      </w:r>
    </w:p>
    <w:p>
      <w:pPr>
        <w:autoSpaceDE w:val="0"/>
        <w:autoSpaceDN w:val="0"/>
        <w:adjustRightInd w:val="0"/>
        <w:snapToGrid w:val="0"/>
        <w:spacing w:line="560" w:lineRule="exact"/>
        <w:ind w:firstLine="883" w:firstLineChars="200"/>
        <w:textAlignment w:val="baseline"/>
        <w:rPr>
          <w:rFonts w:hint="eastAsia" w:ascii="方正仿宋_GB2312" w:hAnsi="方正仿宋_GB2312" w:eastAsia="方正仿宋_GB2312" w:cs="方正仿宋_GB2312"/>
          <w:snapToGrid w:val="0"/>
          <w:color w:val="auto"/>
          <w:sz w:val="32"/>
          <w:szCs w:val="32"/>
          <w:highlight w:val="none"/>
        </w:rPr>
      </w:pPr>
      <w:r>
        <w:rPr>
          <w:rFonts w:hint="eastAsia" w:ascii="宋体" w:hAnsi="宋体" w:cs="Times New Roman"/>
          <w:b/>
          <w:bCs/>
          <w:color w:val="000000"/>
          <w:kern w:val="2"/>
          <w:sz w:val="44"/>
          <w:szCs w:val="44"/>
          <w14:ligatures w14:val="none"/>
        </w:rPr>
        <w:t>“12·18”一般其他事故调查报告</w:t>
      </w:r>
    </w:p>
    <w:p>
      <w:pPr>
        <w:pStyle w:val="2"/>
        <w:rPr>
          <w:rFonts w:hint="eastAsia"/>
        </w:rPr>
      </w:pP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snapToGrid w:val="0"/>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2025年12月18日16时12分许，三亚市天涯区凤凰岛灯塔外侧2号附近海域，发生两艘经营性摩托艇碰撞事故，事故造成1名摩托艇驾驶人员颅脑损伤，经抢救无效死亡，直接经济损失约120万元。</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事故发生后，天涯区委、区政府主要领导高度重视，立即作出指示批示，要求全力做好善后处置、事故调查和隐患排查工作，坚决防范类似事故再次发生，同时迅速成立事故调查组，对该事故开展调查。事故调查组组长由区政府常务副区长符启川担任，调查组成员单位包括：区应急管理局、区旅游和文化广电体育局、区交通运输局、区总工会、区人力资源社会保障局、三亚海警局天涯工作站、三亚市综合执法局天涯分局、区司法局。</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调查组严格遵循“科学严谨、依法依规、实事求是、注重实效”原则和“四不放过”要求，依据《中华人民共和国安全生产法》、《生产安全事故报告和调查处理条例》等法律法规，通过现场勘验、资料查阅、法规研判、询问谈话、责任链条回溯、专家论证等方式开展全面调查，查明事故经过、原因、人员伤亡及直接经济损失情况，认定事故性质与责任，提出相关处理建议，并深入剖析暴露出的问题、总结教训，制定整改防范措施。</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snapToGrid w:val="0"/>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经调查认定：天涯凤凰岛海域摩托艇碰撞“12·18”一般其他事故是一起因摩托艇驾乘人员危险驾驶，海上摩托艇经营性活动组织者、中介及艇只相关经营主体安全管理责任落实缺位引发的一般生产安全责任事故。</w:t>
      </w:r>
    </w:p>
    <w:p>
      <w:pPr>
        <w:spacing w:line="560" w:lineRule="exact"/>
        <w:ind w:firstLine="640" w:firstLineChars="200"/>
        <w:outlineLvl w:val="0"/>
        <w:rPr>
          <w:rFonts w:hint="eastAsia" w:ascii="黑体" w:hAnsi="黑体" w:eastAsia="黑体" w:cs="黑体"/>
          <w:b w:val="0"/>
          <w:bCs/>
          <w:color w:val="auto"/>
          <w:sz w:val="32"/>
          <w:highlight w:val="none"/>
        </w:rPr>
      </w:pPr>
      <w:bookmarkStart w:id="1" w:name="_Toc24707"/>
      <w:r>
        <w:rPr>
          <w:rFonts w:hint="eastAsia" w:ascii="黑体" w:hAnsi="黑体" w:eastAsia="黑体" w:cs="黑体"/>
          <w:b w:val="0"/>
          <w:bCs/>
          <w:color w:val="auto"/>
          <w:sz w:val="32"/>
          <w:highlight w:val="none"/>
        </w:rPr>
        <w:t>一、事故基本情况</w:t>
      </w:r>
      <w:bookmarkEnd w:id="1"/>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bookmarkStart w:id="2" w:name="_Toc14661"/>
      <w:r>
        <w:rPr>
          <w:rFonts w:hint="eastAsia" w:ascii="仿宋_GB2312" w:hAnsi="仿宋_GB2312" w:eastAsia="仿宋_GB2312" w:cs="仿宋_GB2312"/>
          <w:b w:val="0"/>
          <w:bCs w:val="0"/>
          <w:kern w:val="2"/>
          <w:sz w:val="32"/>
          <w:szCs w:val="32"/>
          <w:lang w:val="en-US" w:eastAsia="zh-CN" w:bidi="ar-SA"/>
        </w:rPr>
        <w:t>2025年12月7日，</w:t>
      </w:r>
      <w:r>
        <w:rPr>
          <w:rFonts w:hint="eastAsia" w:ascii="仿宋_GB2312" w:hAnsi="仿宋_GB2312" w:eastAsia="仿宋_GB2312" w:cs="仿宋_GB2312"/>
          <w:b w:val="0"/>
          <w:bCs w:val="0"/>
          <w:color w:val="auto"/>
          <w:kern w:val="2"/>
          <w:sz w:val="32"/>
          <w:szCs w:val="32"/>
          <w:lang w:val="en-US" w:eastAsia="zh-CN" w:bidi="ar-SA"/>
        </w:rPr>
        <w:t>张某某、任某某、田某、阮某某、章某某等一行5名朋友计划结伴从宁波赴三亚游玩，彼此无经营收益，由田某统一对接行程并支付费用。田某联系杜某某（抖音名为“三亚宝哥”）承接游玩安排，杜某某将其中的海上摩托艇驾乘体验项目委托给中介牟某某组织安排。牟某某联络刘某某说需要 6 艘摩托艇，刘某某、丁某某、于某某、某涛等4人共同提供 6 艘摩托艇，黄某某1作</w:t>
      </w:r>
      <w:r>
        <w:rPr>
          <w:rFonts w:hint="eastAsia" w:ascii="仿宋_GB2312" w:hAnsi="仿宋_GB2312" w:eastAsia="仿宋_GB2312" w:cs="仿宋_GB2312"/>
          <w:b w:val="0"/>
          <w:bCs w:val="0"/>
          <w:kern w:val="2"/>
          <w:sz w:val="32"/>
          <w:szCs w:val="32"/>
          <w:lang w:val="en-US" w:eastAsia="zh-CN" w:bidi="ar-SA"/>
        </w:rPr>
        <w:t>为摩托艇驾乘教练负责体验者的海上驾乘指导。</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2025年12月18日下午</w:t>
      </w:r>
      <w:r>
        <w:rPr>
          <w:rFonts w:hint="eastAsia" w:ascii="仿宋_GB2312" w:hAnsi="仿宋_GB2312" w:eastAsia="仿宋_GB2312" w:cs="仿宋_GB2312"/>
          <w:b w:val="0"/>
          <w:bCs w:val="0"/>
          <w:color w:val="auto"/>
          <w:kern w:val="2"/>
          <w:sz w:val="32"/>
          <w:szCs w:val="32"/>
          <w:lang w:val="en-US" w:eastAsia="zh-CN" w:bidi="ar-SA"/>
        </w:rPr>
        <w:t>，张某某等一行5人到达三亚市天涯区凤凰岛灯塔外侧2号附近海域后，经游艇接驳登上摩托艇体验，其中3人体验完毕后返回游艇，张某某、任某某继续驾乘摩托艇。两艇高速近距离航行期间，张某某突然转向，任某某避让不及引发碰撞，张某某头部受撞击造成颅脑损伤，经抢救无效死亡。</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截至事发当日2025年12月18日14时17分，田某已分三次向杜某某完成微信转账旅游服务费合计14万元；事故发生时因体验项目尚未完结，牟某某未收到杜某某支付的相关费用，4名摩托艇提供者也未收到牟某某的结算款。</w:t>
      </w:r>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r>
        <w:rPr>
          <w:rFonts w:hint="eastAsia" w:ascii="Times New Roman" w:hAnsi="Times New Roman" w:eastAsia="楷体_GB2312" w:cs="Times New Roman"/>
          <w:color w:val="000000"/>
          <w:kern w:val="0"/>
          <w:sz w:val="32"/>
          <w:szCs w:val="32"/>
          <w:lang w:val="en-US" w:eastAsia="zh-CN"/>
        </w:rPr>
        <w:t>（一）事故发生单位及相关单位概况</w:t>
      </w:r>
      <w:bookmarkEnd w:id="2"/>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1.死者（被撞摩托艇驾驶人员）</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张某某，</w:t>
      </w:r>
      <w:r>
        <w:rPr>
          <w:rFonts w:hint="eastAsia" w:ascii="仿宋_GB2312" w:hAnsi="仿宋_GB2312" w:eastAsia="仿宋_GB2312" w:cs="仿宋_GB2312"/>
          <w:b w:val="0"/>
          <w:bCs w:val="0"/>
          <w:color w:val="auto"/>
          <w:kern w:val="2"/>
          <w:sz w:val="32"/>
          <w:szCs w:val="32"/>
          <w:lang w:val="en-US" w:eastAsia="zh-CN" w:bidi="ar-SA"/>
        </w:rPr>
        <w:t>男，32岁。本事故死者，其与田某、任某某、阮某某、章某某等一行5人，一起从宁波到三亚游玩。5人为朋友关系，此次三亚之行，相互之间无经营盈利行为。</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2.涉事摩托艇驾驶人员</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任某某，</w:t>
      </w:r>
      <w:r>
        <w:rPr>
          <w:rFonts w:hint="eastAsia" w:ascii="仿宋_GB2312" w:hAnsi="仿宋_GB2312" w:eastAsia="仿宋_GB2312" w:cs="仿宋_GB2312"/>
          <w:b w:val="0"/>
          <w:bCs w:val="0"/>
          <w:color w:val="auto"/>
          <w:kern w:val="2"/>
          <w:sz w:val="32"/>
          <w:szCs w:val="32"/>
          <w:lang w:val="en-US" w:eastAsia="zh-CN" w:bidi="ar-SA"/>
        </w:rPr>
        <w:t>男，37岁。死者朋友，游客，本次事故涉事摩托艇驾驶人员。与死者张某某一起从宁波到三亚游玩，此次三亚之行，与张某某之</w:t>
      </w:r>
      <w:r>
        <w:rPr>
          <w:rFonts w:hint="eastAsia" w:ascii="仿宋_GB2312" w:hAnsi="仿宋_GB2312" w:eastAsia="仿宋_GB2312" w:cs="仿宋_GB2312"/>
          <w:b w:val="0"/>
          <w:bCs w:val="0"/>
          <w:kern w:val="2"/>
          <w:sz w:val="32"/>
          <w:szCs w:val="32"/>
          <w:lang w:val="en-US" w:eastAsia="zh-CN" w:bidi="ar-SA"/>
        </w:rPr>
        <w:t>间无经营盈利行为。</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3.同行游客</w:t>
      </w:r>
    </w:p>
    <w:p>
      <w:pPr>
        <w:autoSpaceDE w:val="0"/>
        <w:autoSpaceDN w:val="0"/>
        <w:adjustRightInd w:val="0"/>
        <w:snapToGrid w:val="0"/>
        <w:spacing w:line="560" w:lineRule="exact"/>
        <w:ind w:firstLine="643"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bCs/>
          <w:color w:val="auto"/>
          <w:kern w:val="2"/>
          <w:sz w:val="32"/>
          <w:szCs w:val="32"/>
          <w:lang w:val="en-US" w:eastAsia="zh-CN" w:bidi="ar-SA"/>
        </w:rPr>
        <w:t>田某，</w:t>
      </w:r>
      <w:r>
        <w:rPr>
          <w:rFonts w:hint="eastAsia" w:ascii="仿宋_GB2312" w:hAnsi="仿宋_GB2312" w:eastAsia="仿宋_GB2312" w:cs="仿宋_GB2312"/>
          <w:b w:val="0"/>
          <w:bCs w:val="0"/>
          <w:color w:val="auto"/>
          <w:kern w:val="2"/>
          <w:sz w:val="32"/>
          <w:szCs w:val="32"/>
          <w:lang w:val="en-US" w:eastAsia="zh-CN" w:bidi="ar-SA"/>
        </w:rPr>
        <w:t>男，36岁。田某与死者张某某等5人结伴自宁波前往三亚游玩。本次行程由田某负责对接抖音名为“三亚宝哥”</w:t>
      </w:r>
      <w:r>
        <w:rPr>
          <w:rFonts w:hint="eastAsia" w:ascii="仿宋_GB2312" w:hAnsi="仿宋_GB2312" w:eastAsia="仿宋_GB2312" w:cs="仿宋_GB2312"/>
          <w:b w:val="0"/>
          <w:bCs w:val="0"/>
          <w:color w:val="auto"/>
          <w:kern w:val="2"/>
          <w:sz w:val="32"/>
          <w:szCs w:val="32"/>
          <w:lang w:val="en-US" w:eastAsia="zh-CN" w:bidi="ar-SA"/>
        </w:rPr>
        <w:t>的三亚旅游中介杜某某，并先后共计支付费用14万元，用于5人在三亚期间游艇、摩托艇体验及食宿、娱乐等全部消费。田某仅负责联络与费用结算，未参与当地旅游项目实际经营，无经营盈利行为，其行为与本次事故发生无直接关联</w:t>
      </w:r>
      <w:r>
        <w:rPr>
          <w:rFonts w:hint="eastAsia" w:ascii="方正仿宋_GB2312" w:hAnsi="方正仿宋_GB2312" w:eastAsia="方正仿宋_GB2312" w:cs="方正仿宋_GB2312"/>
          <w:color w:val="auto"/>
          <w:sz w:val="32"/>
          <w:szCs w:val="32"/>
          <w:highlight w:val="none"/>
        </w:rPr>
        <w:t>。</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4.三亚旅游中介</w:t>
      </w:r>
    </w:p>
    <w:p>
      <w:pPr>
        <w:autoSpaceDE w:val="0"/>
        <w:autoSpaceDN w:val="0"/>
        <w:adjustRightInd w:val="0"/>
        <w:snapToGrid w:val="0"/>
        <w:spacing w:line="560" w:lineRule="exact"/>
        <w:ind w:firstLine="643" w:firstLineChars="200"/>
        <w:textAlignment w:val="baseline"/>
        <w:outlineLvl w:val="9"/>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杜某某，</w:t>
      </w:r>
      <w:r>
        <w:rPr>
          <w:rFonts w:hint="eastAsia" w:ascii="仿宋_GB2312" w:hAnsi="仿宋_GB2312" w:eastAsia="仿宋_GB2312" w:cs="仿宋_GB2312"/>
          <w:b w:val="0"/>
          <w:bCs w:val="0"/>
          <w:color w:val="auto"/>
          <w:kern w:val="2"/>
          <w:sz w:val="32"/>
          <w:szCs w:val="32"/>
          <w:lang w:val="en-US" w:eastAsia="zh-CN" w:bidi="ar-SA"/>
        </w:rPr>
        <w:t>男，33岁。抖音名“三亚宝哥”，长期以自然人身份在三亚开展旅游中介经营活动，无固定经营场所，未依法办理工商营业执照，且未向行业主管部门备案，属于无证照违规经营。其主要经营业务为承接游客出行对接、水上娱乐项目统筹安排等旅游中介服务。本次事故中，杜某某系涉案旅游活动的实际组织者，全权负责张某某等5人三亚之行的行程统筹，具体包含游艇、摩托艇等水上游玩项目对接与全程游玩安排。事故发生前，杜某某累计收取田某转账的旅游费用共计14万元，用于统筹5人全程旅游消费；事故发生后，杜某某已向田某退还费用 1.5万元。</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5.摩托艇服务中介</w:t>
      </w:r>
    </w:p>
    <w:p>
      <w:pPr>
        <w:autoSpaceDE w:val="0"/>
        <w:autoSpaceDN w:val="0"/>
        <w:adjustRightInd w:val="0"/>
        <w:snapToGrid w:val="0"/>
        <w:spacing w:line="560" w:lineRule="exact"/>
        <w:ind w:firstLine="643"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bCs/>
          <w:color w:val="auto"/>
          <w:kern w:val="2"/>
          <w:sz w:val="32"/>
          <w:szCs w:val="32"/>
          <w:lang w:val="en-US" w:eastAsia="zh-CN" w:bidi="ar-SA"/>
        </w:rPr>
        <w:t>牟某某，</w:t>
      </w:r>
      <w:r>
        <w:rPr>
          <w:rFonts w:hint="eastAsia" w:ascii="仿宋_GB2312" w:hAnsi="仿宋_GB2312" w:eastAsia="仿宋_GB2312" w:cs="仿宋_GB2312"/>
          <w:b w:val="0"/>
          <w:bCs w:val="0"/>
          <w:color w:val="auto"/>
          <w:kern w:val="2"/>
          <w:sz w:val="32"/>
          <w:szCs w:val="32"/>
          <w:lang w:val="en-US" w:eastAsia="zh-CN" w:bidi="ar-SA"/>
        </w:rPr>
        <w:t>男，38岁。摩托艇驾乘体验项目中介人员。未进行工商注册，无合法经营主体。无水上项目经营资质及备案手续，长期以自然人身份从事摩托艇体验项目中介服务，收费标准260元/小时，通过微信向摩托艇体验项目服务提供者转账付费。本次事故中受杜某某委</w:t>
      </w:r>
      <w:r>
        <w:rPr>
          <w:rFonts w:hint="eastAsia" w:ascii="仿宋_GB2312" w:hAnsi="仿宋_GB2312" w:eastAsia="仿宋_GB2312" w:cs="仿宋_GB2312"/>
          <w:b w:val="0"/>
          <w:bCs w:val="0"/>
          <w:kern w:val="2"/>
          <w:sz w:val="32"/>
          <w:szCs w:val="32"/>
          <w:lang w:val="en-US" w:eastAsia="zh-CN" w:bidi="ar-SA"/>
        </w:rPr>
        <w:t>托，协调安排 6 艘摩托艇参与海上驾乘体验服务。</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6.摩托艇提供方</w:t>
      </w:r>
    </w:p>
    <w:p>
      <w:pPr>
        <w:autoSpaceDE w:val="0"/>
        <w:autoSpaceDN w:val="0"/>
        <w:adjustRightInd w:val="0"/>
        <w:snapToGrid w:val="0"/>
        <w:spacing w:line="560" w:lineRule="exact"/>
        <w:ind w:firstLine="643"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bCs/>
          <w:color w:val="auto"/>
          <w:kern w:val="2"/>
          <w:sz w:val="32"/>
          <w:szCs w:val="32"/>
          <w:lang w:val="en-US" w:eastAsia="zh-CN" w:bidi="ar-SA"/>
        </w:rPr>
        <w:t>丁某某，</w:t>
      </w:r>
      <w:r>
        <w:rPr>
          <w:rFonts w:hint="eastAsia" w:ascii="仿宋_GB2312" w:hAnsi="仿宋_GB2312" w:eastAsia="仿宋_GB2312" w:cs="仿宋_GB2312"/>
          <w:b w:val="0"/>
          <w:bCs w:val="0"/>
          <w:color w:val="auto"/>
          <w:kern w:val="2"/>
          <w:sz w:val="32"/>
          <w:szCs w:val="32"/>
          <w:lang w:val="en-US" w:eastAsia="zh-CN" w:bidi="ar-SA"/>
        </w:rPr>
        <w:t>男</w:t>
      </w:r>
      <w:r>
        <w:rPr>
          <w:rFonts w:hint="eastAsia" w:ascii="仿宋_GB2312" w:hAnsi="仿宋_GB2312" w:eastAsia="仿宋_GB2312" w:cs="仿宋_GB2312"/>
          <w:b w:val="0"/>
          <w:bCs w:val="0"/>
          <w:kern w:val="2"/>
          <w:sz w:val="32"/>
          <w:szCs w:val="32"/>
          <w:lang w:val="en-US" w:eastAsia="zh-CN" w:bidi="ar-SA"/>
        </w:rPr>
        <w:t>。三亚见山是海俱乐部有限公司（自然人独资）法定代表人。本起事故中被撞摩托艇的提供者，其所提供的被撞摩托艇，已按规定完成登记与备案手续。具备经营主体资质，</w:t>
      </w:r>
      <w:r>
        <w:rPr>
          <w:rFonts w:hint="eastAsia" w:ascii="仿宋_GB2312" w:hAnsi="仿宋_GB2312" w:eastAsia="仿宋_GB2312" w:cs="仿宋_GB2312"/>
          <w:b/>
          <w:bCs/>
          <w:kern w:val="2"/>
          <w:sz w:val="32"/>
          <w:szCs w:val="32"/>
          <w:lang w:val="en-US" w:eastAsia="zh-CN" w:bidi="ar-SA"/>
        </w:rPr>
        <w:t>三亚见山是海俱乐部有限公司。</w:t>
      </w:r>
      <w:r>
        <w:rPr>
          <w:rFonts w:hint="eastAsia" w:ascii="仿宋_GB2312" w:hAnsi="仿宋_GB2312" w:eastAsia="仿宋_GB2312" w:cs="仿宋_GB2312"/>
          <w:b w:val="0"/>
          <w:bCs w:val="0"/>
          <w:kern w:val="2"/>
          <w:sz w:val="32"/>
          <w:szCs w:val="32"/>
          <w:lang w:val="en-US" w:eastAsia="zh-CN" w:bidi="ar-SA"/>
        </w:rPr>
        <w:t>该公司成立于2025年09月12日，注册地位于海南省三亚市天涯区育春路与凤凰路交汇处三亚景园城A幢1单元6楼602号房。统一社会信用代码：91460000MAEWD7001K。与事故相关经营范围包括：一般经营项目：游艇租赁；船舶租赁；娱乐船和运动船制造；船舶销售；健身休闲活动；租借道具活动；休闲观光活动；旅游开发项目策划咨询；旅客票务代理。</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于某某，</w:t>
      </w:r>
      <w:r>
        <w:rPr>
          <w:rFonts w:hint="eastAsia" w:ascii="仿宋_GB2312" w:hAnsi="仿宋_GB2312" w:eastAsia="仿宋_GB2312" w:cs="仿宋_GB2312"/>
          <w:b w:val="0"/>
          <w:bCs w:val="0"/>
          <w:color w:val="auto"/>
          <w:kern w:val="2"/>
          <w:sz w:val="32"/>
          <w:szCs w:val="32"/>
          <w:lang w:val="en-US" w:eastAsia="zh-CN" w:bidi="ar-SA"/>
        </w:rPr>
        <w:t>男。长期以自然人身份向游客提供摩托艇海上驾乘体验服务，未取得摩托艇驾驶证书。系本次事故涉事摩托艇的提供者，所投入运营的摩托艇，未依法办理相关登记与备案手续，未投保安全责任保险，出海经营也未按规定履行报备程序。</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刘某某，</w:t>
      </w:r>
      <w:r>
        <w:rPr>
          <w:rFonts w:hint="eastAsia" w:ascii="仿宋_GB2312" w:hAnsi="仿宋_GB2312" w:eastAsia="仿宋_GB2312" w:cs="仿宋_GB2312"/>
          <w:b w:val="0"/>
          <w:bCs w:val="0"/>
          <w:color w:val="auto"/>
          <w:kern w:val="2"/>
          <w:sz w:val="32"/>
          <w:szCs w:val="32"/>
          <w:lang w:val="en-US" w:eastAsia="zh-CN" w:bidi="ar-SA"/>
        </w:rPr>
        <w:t>男，28岁。持有摩托艇驾驶证。长期从事海上摩托艇驾乘体验项目服务，所投入运营的摩托艇，已依法办理相关登记与备案手续。本次事故相关业务对接过程中，中介牟某某致电刘某某协商海上摩托艇驾乘体验服务事宜。丁某某、于某某等其他 3 名摩托艇提供者及摩托艇项目教练黄某某1通过闲聊获知该服务信息后，与刘某某共同参与提供海上摩托艇体验服务。</w:t>
      </w:r>
    </w:p>
    <w:p>
      <w:pPr>
        <w:autoSpaceDE w:val="0"/>
        <w:autoSpaceDN w:val="0"/>
        <w:adjustRightInd w:val="0"/>
        <w:snapToGrid w:val="0"/>
        <w:spacing w:line="560" w:lineRule="exact"/>
        <w:ind w:firstLine="643" w:firstLineChars="200"/>
        <w:textAlignment w:val="baseline"/>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某涛，</w:t>
      </w:r>
      <w:r>
        <w:rPr>
          <w:rFonts w:hint="eastAsia" w:ascii="仿宋_GB2312" w:hAnsi="仿宋_GB2312" w:eastAsia="仿宋_GB2312" w:cs="仿宋_GB2312"/>
          <w:b w:val="0"/>
          <w:bCs w:val="0"/>
          <w:color w:val="auto"/>
          <w:kern w:val="2"/>
          <w:sz w:val="32"/>
          <w:szCs w:val="32"/>
          <w:lang w:val="en-US" w:eastAsia="zh-CN" w:bidi="ar-SA"/>
        </w:rPr>
        <w:t>男。因涉事相关人员仅知其该称呼，且无联系方式，又因其提供的摩托艇未参与本次碰撞事故，涉事过程中相关行为与事故发生不存在</w:t>
      </w:r>
      <w:r>
        <w:rPr>
          <w:rFonts w:hint="eastAsia" w:ascii="仿宋_GB2312" w:hAnsi="仿宋_GB2312" w:eastAsia="仿宋_GB2312" w:cs="仿宋_GB2312"/>
          <w:b w:val="0"/>
          <w:bCs w:val="0"/>
          <w:kern w:val="2"/>
          <w:sz w:val="32"/>
          <w:szCs w:val="32"/>
          <w:lang w:val="en-US" w:eastAsia="zh-CN" w:bidi="ar-SA"/>
        </w:rPr>
        <w:t>因果关系，故未就其完整身份信息开展公安身份核查等深度调查工作。</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7.摩托艇驾驶教练</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黄某某1</w:t>
      </w:r>
      <w:r>
        <w:rPr>
          <w:rFonts w:hint="eastAsia" w:ascii="仿宋_GB2312" w:hAnsi="仿宋_GB2312" w:eastAsia="仿宋_GB2312" w:cs="仿宋_GB2312"/>
          <w:b/>
          <w:bCs/>
          <w:color w:val="auto"/>
          <w:kern w:val="2"/>
          <w:sz w:val="32"/>
          <w:szCs w:val="32"/>
          <w:lang w:val="en-US" w:eastAsia="zh-CN" w:bidi="ar-SA"/>
        </w:rPr>
        <w:t>，</w:t>
      </w:r>
      <w:r>
        <w:rPr>
          <w:rFonts w:hint="eastAsia" w:ascii="仿宋_GB2312" w:hAnsi="仿宋_GB2312" w:eastAsia="仿宋_GB2312" w:cs="仿宋_GB2312"/>
          <w:b w:val="0"/>
          <w:bCs w:val="0"/>
          <w:color w:val="auto"/>
          <w:kern w:val="2"/>
          <w:sz w:val="32"/>
          <w:szCs w:val="32"/>
          <w:lang w:val="en-US" w:eastAsia="zh-CN" w:bidi="ar-SA"/>
        </w:rPr>
        <w:t>男。摩托艇驾驶体验项目教练，主要负责向游客开展摩托艇驾驶培训，无驾驶资格证书。</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8.摩托艇泊位出租方</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海南小西长风体育文化发展有限公司，</w:t>
      </w:r>
      <w:r>
        <w:rPr>
          <w:rFonts w:hint="eastAsia" w:ascii="仿宋_GB2312" w:hAnsi="仿宋_GB2312" w:eastAsia="仿宋_GB2312" w:cs="仿宋_GB2312"/>
          <w:b w:val="0"/>
          <w:bCs w:val="0"/>
          <w:kern w:val="2"/>
          <w:sz w:val="32"/>
          <w:szCs w:val="32"/>
          <w:lang w:val="en-US" w:eastAsia="zh-CN" w:bidi="ar-SA"/>
        </w:rPr>
        <w:t>成立于2023年06月19日，注册地位于海南省三亚市天涯区中央商务区南边海路9号三亚国际游艇中心2号楼3层商铺2-3-1，法定代表人为</w:t>
      </w:r>
      <w:r>
        <w:rPr>
          <w:rFonts w:hint="eastAsia" w:ascii="仿宋_GB2312" w:hAnsi="仿宋_GB2312" w:eastAsia="仿宋_GB2312" w:cs="仿宋_GB2312"/>
          <w:b w:val="0"/>
          <w:bCs w:val="0"/>
          <w:color w:val="auto"/>
          <w:kern w:val="2"/>
          <w:sz w:val="32"/>
          <w:szCs w:val="32"/>
          <w:lang w:val="en-US" w:eastAsia="zh-CN" w:bidi="ar-SA"/>
        </w:rPr>
        <w:t>杨某</w:t>
      </w:r>
      <w:r>
        <w:rPr>
          <w:rFonts w:hint="eastAsia" w:ascii="仿宋_GB2312" w:hAnsi="仿宋_GB2312" w:eastAsia="仿宋_GB2312" w:cs="仿宋_GB2312"/>
          <w:b w:val="0"/>
          <w:bCs w:val="0"/>
          <w:kern w:val="2"/>
          <w:sz w:val="32"/>
          <w:szCs w:val="32"/>
          <w:lang w:val="en-US" w:eastAsia="zh-CN" w:bidi="ar-SA"/>
        </w:rPr>
        <w:t>。统一社会信用代码：91460106MAA9AQ4C2F。与事故相关经营范围包括许可项目：船舶租赁；体育用品及器材零售；游艇租赁；休闲娱乐用品设备出租；娱乐船和运动船销售；水上运输设备零配件销售。该公司将其三亚国际游艇中心的码头泊位租赁给海南造浪小鲨鱼俱乐部有限公司，租赁过程，未核查租赁单位的水上游乐项目经营资质。</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海南造浪小鲨鱼俱乐部有限公司，</w:t>
      </w:r>
      <w:r>
        <w:rPr>
          <w:rFonts w:hint="eastAsia" w:ascii="仿宋_GB2312" w:hAnsi="仿宋_GB2312" w:eastAsia="仿宋_GB2312" w:cs="仿宋_GB2312"/>
          <w:b w:val="0"/>
          <w:bCs w:val="0"/>
          <w:kern w:val="2"/>
          <w:sz w:val="32"/>
          <w:szCs w:val="32"/>
          <w:lang w:val="en-US" w:eastAsia="zh-CN" w:bidi="ar-SA"/>
        </w:rPr>
        <w:t>成立于2023年06月28日，注册地位于海南省三亚市天涯区南边海路305号，法定代表人为</w:t>
      </w:r>
      <w:r>
        <w:rPr>
          <w:rFonts w:hint="eastAsia" w:ascii="仿宋_GB2312" w:hAnsi="仿宋_GB2312" w:eastAsia="仿宋_GB2312" w:cs="仿宋_GB2312"/>
          <w:b w:val="0"/>
          <w:bCs w:val="0"/>
          <w:color w:val="auto"/>
          <w:kern w:val="2"/>
          <w:sz w:val="32"/>
          <w:szCs w:val="32"/>
          <w:lang w:val="en-US" w:eastAsia="zh-CN" w:bidi="ar-SA"/>
        </w:rPr>
        <w:t>吴某。统一社会信用代码：91460000MACM4N7Q09。该公司实际负责人为李某</w:t>
      </w:r>
      <w:r>
        <w:rPr>
          <w:rFonts w:hint="eastAsia" w:ascii="仿宋_GB2312" w:hAnsi="仿宋_GB2312" w:eastAsia="仿宋_GB2312" w:cs="仿宋_GB2312"/>
          <w:b w:val="0"/>
          <w:bCs w:val="0"/>
          <w:kern w:val="2"/>
          <w:sz w:val="32"/>
          <w:szCs w:val="32"/>
          <w:lang w:val="en-US" w:eastAsia="zh-CN" w:bidi="ar-SA"/>
        </w:rPr>
        <w:t>（男）。与事故有关的经营范围包括许可项目：船员、引航员培训；旅游业务；一般项目：健身休闲活动；休闲观光活动；游艇租赁；船舶租赁；船舶销售；船舶修理；船舶拖带服务；旅行社服务网点旅游招徕、咨询服务；旅游开发项目策划咨询。该公司未取得水上游乐项目相关经营资质，其与海南小西长风体育文化发展有限公司签订泊位租赁协议后，将承租的摩托艇停泊泊位，以1400元/月的价格口头转租</w:t>
      </w:r>
      <w:r>
        <w:rPr>
          <w:rFonts w:hint="eastAsia" w:ascii="仿宋_GB2312" w:hAnsi="仿宋_GB2312" w:eastAsia="仿宋_GB2312" w:cs="仿宋_GB2312"/>
          <w:b w:val="0"/>
          <w:bCs w:val="0"/>
          <w:color w:val="auto"/>
          <w:kern w:val="2"/>
          <w:sz w:val="32"/>
          <w:szCs w:val="32"/>
          <w:lang w:val="en-US" w:eastAsia="zh-CN" w:bidi="ar-SA"/>
        </w:rPr>
        <w:t>给丁某某、于某某。</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9.游艇相关主体</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三亚泓昇游艇帆船俱乐部有限责任公司，</w:t>
      </w:r>
      <w:r>
        <w:rPr>
          <w:rFonts w:hint="eastAsia" w:ascii="仿宋_GB2312" w:hAnsi="仿宋_GB2312" w:eastAsia="仿宋_GB2312" w:cs="仿宋_GB2312"/>
          <w:b w:val="0"/>
          <w:bCs w:val="0"/>
          <w:kern w:val="2"/>
          <w:sz w:val="32"/>
          <w:szCs w:val="32"/>
          <w:lang w:val="en-US" w:eastAsia="zh-CN" w:bidi="ar-SA"/>
        </w:rPr>
        <w:t>成立于2018年11月05日，注册地位于海南省三亚市吉阳区南海社区居委会渔村路五巷19号，法定代表人为</w:t>
      </w:r>
      <w:r>
        <w:rPr>
          <w:rFonts w:hint="eastAsia" w:ascii="仿宋_GB2312" w:hAnsi="仿宋_GB2312" w:eastAsia="仿宋_GB2312" w:cs="仿宋_GB2312"/>
          <w:b w:val="0"/>
          <w:bCs w:val="0"/>
          <w:color w:val="auto"/>
          <w:kern w:val="2"/>
          <w:sz w:val="32"/>
          <w:szCs w:val="32"/>
          <w:lang w:val="en-US" w:eastAsia="zh-CN" w:bidi="ar-SA"/>
        </w:rPr>
        <w:t>陈某某</w:t>
      </w:r>
      <w:r>
        <w:rPr>
          <w:rFonts w:hint="eastAsia" w:ascii="仿宋_GB2312" w:hAnsi="仿宋_GB2312" w:eastAsia="仿宋_GB2312" w:cs="仿宋_GB2312"/>
          <w:b w:val="0"/>
          <w:bCs w:val="0"/>
          <w:kern w:val="2"/>
          <w:sz w:val="32"/>
          <w:szCs w:val="32"/>
          <w:lang w:val="en-US" w:eastAsia="zh-CN" w:bidi="ar-SA"/>
        </w:rPr>
        <w:t>。与事故有关的经营范围包括游艇、帆船、摩托艇、动力艇租赁，游艇俱乐部服务，船艇维修保养，游艇、帆船、摩托艇驾驶培训，垂钓服务，潜水服务，游艇的展示展览服务，休闲观光活动，体育竞赛组织策划，旅游用品、体育用品的销售，公关活动策划，婚庆礼仪服务，游艇托管、咨询、销售与代理，船艇停泊服务，娱乐项目、旅游项目开发及管理，船舶设备及零部件销售与代理。统一社会信用代码：91460200MA5T6Y1T1H。本次事故中负责旅行人员海</w:t>
      </w:r>
      <w:r>
        <w:rPr>
          <w:rFonts w:hint="eastAsia" w:ascii="仿宋_GB2312" w:hAnsi="仿宋_GB2312" w:eastAsia="仿宋_GB2312" w:cs="仿宋_GB2312"/>
          <w:b w:val="0"/>
          <w:bCs w:val="0"/>
          <w:color w:val="auto"/>
          <w:kern w:val="2"/>
          <w:sz w:val="32"/>
          <w:szCs w:val="32"/>
          <w:lang w:val="en-US" w:eastAsia="zh-CN" w:bidi="ar-SA"/>
        </w:rPr>
        <w:t>上观光项目的“森康号”游艇归属该公司管理。</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黄某某2，</w:t>
      </w:r>
      <w:r>
        <w:rPr>
          <w:rFonts w:hint="eastAsia" w:ascii="仿宋_GB2312" w:hAnsi="仿宋_GB2312" w:eastAsia="仿宋_GB2312" w:cs="仿宋_GB2312"/>
          <w:b w:val="0"/>
          <w:bCs w:val="0"/>
          <w:color w:val="auto"/>
          <w:kern w:val="2"/>
          <w:sz w:val="32"/>
          <w:szCs w:val="32"/>
          <w:lang w:val="en-US" w:eastAsia="zh-CN" w:bidi="ar-SA"/>
        </w:rPr>
        <w:t>男。“森康号”游艇所有人、持证船长，具备游艇驾驶资质，将“森康号”游艇挂靠于三亚泓昇游艇帆船俱乐部有限责任公司，接受三亚泓昇游艇帆船俱乐部有限责任公司统一管理。本起事故中，张某某等人计划出海体验摩托艇驾乘活动，黄某某2使用其自有游艇接送张某某等人往</w:t>
      </w:r>
      <w:r>
        <w:rPr>
          <w:rFonts w:hint="eastAsia" w:ascii="仿宋_GB2312" w:hAnsi="仿宋_GB2312" w:eastAsia="仿宋_GB2312" w:cs="仿宋_GB2312"/>
          <w:b w:val="0"/>
          <w:bCs w:val="0"/>
          <w:kern w:val="2"/>
          <w:sz w:val="32"/>
          <w:szCs w:val="32"/>
          <w:lang w:val="en-US" w:eastAsia="zh-CN" w:bidi="ar-SA"/>
        </w:rPr>
        <w:t>返海上。</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10. 码头运营单位</w:t>
      </w:r>
    </w:p>
    <w:p>
      <w:pPr>
        <w:autoSpaceDE w:val="0"/>
        <w:autoSpaceDN w:val="0"/>
        <w:adjustRightInd w:val="0"/>
        <w:snapToGrid w:val="0"/>
        <w:spacing w:line="560" w:lineRule="exact"/>
        <w:ind w:firstLine="643" w:firstLineChars="200"/>
        <w:textAlignment w:val="baseline"/>
        <w:outlineLvl w:val="9"/>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bCs/>
          <w:kern w:val="2"/>
          <w:sz w:val="32"/>
          <w:szCs w:val="32"/>
          <w:lang w:val="en-US" w:eastAsia="zh-CN" w:bidi="ar-SA"/>
        </w:rPr>
        <w:t>海南鸿洲游艇产业发展投资集团有限公司，</w:t>
      </w:r>
      <w:r>
        <w:rPr>
          <w:rFonts w:hint="eastAsia" w:ascii="仿宋_GB2312" w:hAnsi="仿宋_GB2312" w:eastAsia="仿宋_GB2312" w:cs="仿宋_GB2312"/>
          <w:b w:val="0"/>
          <w:bCs w:val="0"/>
          <w:kern w:val="2"/>
          <w:sz w:val="32"/>
          <w:szCs w:val="32"/>
          <w:lang w:val="en-US" w:eastAsia="zh-CN" w:bidi="ar-SA"/>
        </w:rPr>
        <w:t>成立于2005年07月26日，注册地位于海南省三亚市吉阳区南边海联检中心1号楼304号，法定代表</w:t>
      </w:r>
      <w:r>
        <w:rPr>
          <w:rFonts w:hint="eastAsia" w:ascii="仿宋_GB2312" w:hAnsi="仿宋_GB2312" w:eastAsia="仿宋_GB2312" w:cs="仿宋_GB2312"/>
          <w:b w:val="0"/>
          <w:bCs w:val="0"/>
          <w:color w:val="auto"/>
          <w:kern w:val="2"/>
          <w:sz w:val="32"/>
          <w:szCs w:val="32"/>
          <w:lang w:val="en-US" w:eastAsia="zh-CN" w:bidi="ar-SA"/>
        </w:rPr>
        <w:t>人为王某某</w:t>
      </w:r>
      <w:r>
        <w:rPr>
          <w:rFonts w:hint="eastAsia" w:ascii="仿宋_GB2312" w:hAnsi="仿宋_GB2312" w:eastAsia="仿宋_GB2312" w:cs="仿宋_GB2312"/>
          <w:b w:val="0"/>
          <w:bCs w:val="0"/>
          <w:kern w:val="2"/>
          <w:sz w:val="32"/>
          <w:szCs w:val="32"/>
          <w:lang w:val="en-US" w:eastAsia="zh-CN" w:bidi="ar-SA"/>
        </w:rPr>
        <w:t>。具备港口运营相关资质，负责船舶停泊、出海查验、报备管理等工作。统一社会信用代码：914600007742754118。与事故有关的经营范围包括许可项目：船员、引航员培训；港口经营；高危险性体育运动（游泳）；高危险性体育运动（潜水）；船舶拆除；船舶检验服务（依法须经批准的项目，经相关部门批准后方可开展经营活动）一般项目：船舶设计；船舶制造；娱乐船和运动船制造；船舶租赁；船舶销售；娱乐船和运动船销售；游艇租赁；国内船舶代理；销售代理；船舶修理；企业会员积分管理服务；旅游开发项目策划咨询；海南鸿洲游艇产业发展投资集团有限公司对外投资 5家公司，具有3处分支机构。</w:t>
      </w:r>
    </w:p>
    <w:p>
      <w:pPr>
        <w:autoSpaceDE w:val="0"/>
        <w:autoSpaceDN w:val="0"/>
        <w:adjustRightInd w:val="0"/>
        <w:snapToGrid w:val="0"/>
        <w:spacing w:line="560" w:lineRule="exact"/>
        <w:ind w:firstLine="640" w:firstLineChars="200"/>
        <w:textAlignment w:val="baseline"/>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该码头为“康森号”游艇的停泊码头。事发前，本次事故中的6艘摩托艇与“康森号”游艇在码头外海域集结，一同前往事发海域。</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海南国际游艇交易有限公司，</w:t>
      </w:r>
      <w:r>
        <w:rPr>
          <w:rFonts w:hint="eastAsia" w:ascii="仿宋_GB2312" w:hAnsi="仿宋_GB2312" w:eastAsia="仿宋_GB2312" w:cs="仿宋_GB2312"/>
          <w:b w:val="0"/>
          <w:bCs w:val="0"/>
          <w:kern w:val="2"/>
          <w:sz w:val="32"/>
          <w:szCs w:val="32"/>
          <w:lang w:val="en-US" w:eastAsia="zh-CN" w:bidi="ar-SA"/>
        </w:rPr>
        <w:t>成立于2020年03月27日，注册地位于海南省三亚市天涯区南边海路9号三亚国际游艇中心三号楼三层3-3-5号房，法定代表人</w:t>
      </w:r>
      <w:r>
        <w:rPr>
          <w:rFonts w:hint="eastAsia" w:ascii="仿宋_GB2312" w:hAnsi="仿宋_GB2312" w:eastAsia="仿宋_GB2312" w:cs="仿宋_GB2312"/>
          <w:b w:val="0"/>
          <w:bCs w:val="0"/>
          <w:color w:val="auto"/>
          <w:kern w:val="2"/>
          <w:sz w:val="32"/>
          <w:szCs w:val="32"/>
          <w:lang w:val="en-US" w:eastAsia="zh-CN" w:bidi="ar-SA"/>
        </w:rPr>
        <w:t>为苏某某</w:t>
      </w:r>
      <w:r>
        <w:rPr>
          <w:rFonts w:hint="eastAsia" w:ascii="仿宋_GB2312" w:hAnsi="仿宋_GB2312" w:eastAsia="仿宋_GB2312" w:cs="仿宋_GB2312"/>
          <w:b w:val="0"/>
          <w:bCs w:val="0"/>
          <w:kern w:val="2"/>
          <w:sz w:val="32"/>
          <w:szCs w:val="32"/>
          <w:lang w:val="en-US" w:eastAsia="zh-CN" w:bidi="ar-SA"/>
        </w:rPr>
        <w:t>。统一社会信用代码：91460200MA5THACP3P。与事故有关的经营范围包括一般经营项目：船舶修理；船舶改装；船舶租赁；游艇租赁；娱乐船和运动船销售；船舶销售；销售代理；水上运输设备零配件销售；休闲观光活动；体育竞赛组织；体育赛事策划；业务培训（不含教育培训、职业技能培训等需取得许可的培训）；船舶港口服务；国际船舶管理业务；运输设备租赁服务；许可经营项目：船舶检验服务；船舶拆除；港口经营（许可经营项目凭许可证件经营）。</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该码头为本次事故中 6 艘摩托艇的停泊码头。</w:t>
      </w:r>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3" w:name="_Toc11425"/>
      <w:bookmarkStart w:id="4" w:name="heading_4"/>
      <w:r>
        <w:rPr>
          <w:rFonts w:hint="eastAsia" w:ascii="Times New Roman" w:hAnsi="Times New Roman" w:eastAsia="楷体_GB2312" w:cs="Times New Roman"/>
          <w:color w:val="000000"/>
          <w:kern w:val="0"/>
          <w:sz w:val="32"/>
          <w:szCs w:val="32"/>
          <w:lang w:val="en-US" w:eastAsia="zh-CN"/>
        </w:rPr>
        <w:t>（二）事故发生单位安全管理情况</w:t>
      </w:r>
      <w:bookmarkEnd w:id="3"/>
      <w:bookmarkEnd w:id="4"/>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1.三亚旅游中介安全管理情况</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杜某某，作为旅游中介，统筹组织旅游项目过程安全管理履职缺位，通过摩托艇体验项目服务中介牟某某组织摩托艇体验项目时未依法确认牟某某等人的经营资质、</w:t>
      </w:r>
      <w:r>
        <w:rPr>
          <w:rFonts w:hint="eastAsia" w:ascii="仿宋_GB2312" w:hAnsi="仿宋_GB2312" w:eastAsia="仿宋_GB2312" w:cs="仿宋_GB2312"/>
          <w:b w:val="0"/>
          <w:bCs w:val="0"/>
          <w:kern w:val="2"/>
          <w:sz w:val="32"/>
          <w:szCs w:val="32"/>
          <w:lang w:val="en-US" w:eastAsia="zh-CN" w:bidi="ar-SA"/>
        </w:rPr>
        <w:t>相关摩托艇登记备案手续及相关人员从业资质证件，选任把关不严；仅负责业务对接，未落实现场协调、航行管控等安全职责，未统筹船艇协同作业风险，且未依法履行向游客告知、提示摩托艇驾乘体验项目安全风险的义务。</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2.涉事摩托艇提供方安全管理情况</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bookmarkStart w:id="5" w:name="heading_5"/>
      <w:r>
        <w:rPr>
          <w:rFonts w:hint="eastAsia" w:ascii="仿宋_GB2312" w:hAnsi="仿宋_GB2312" w:eastAsia="仿宋_GB2312" w:cs="仿宋_GB2312"/>
          <w:b w:val="0"/>
          <w:bCs w:val="0"/>
          <w:color w:val="auto"/>
          <w:kern w:val="2"/>
          <w:sz w:val="32"/>
          <w:szCs w:val="32"/>
          <w:lang w:val="en-US" w:eastAsia="zh-CN" w:bidi="ar-SA"/>
        </w:rPr>
        <w:t>于某某作为</w:t>
      </w:r>
      <w:r>
        <w:rPr>
          <w:rFonts w:hint="eastAsia" w:ascii="仿宋_GB2312" w:hAnsi="仿宋_GB2312" w:eastAsia="仿宋_GB2312" w:cs="仿宋_GB2312"/>
          <w:b w:val="0"/>
          <w:bCs w:val="0"/>
          <w:kern w:val="2"/>
          <w:sz w:val="32"/>
          <w:szCs w:val="32"/>
          <w:lang w:val="en-US" w:eastAsia="zh-CN" w:bidi="ar-SA"/>
        </w:rPr>
        <w:t>摩托艇体验服务提供主体，不具备摩托艇驾驶相应资质，所运营摩托艇亦未按规定办理登记备案手续；未向驾乘人员履行安全提醒、风险告知及操作规范告知义务；作业秩序管理混乱，多艘摩托艇之间近距离高速行驶，未保持安全间距及安全行驶速度，船艇协同作业未建立安全规则，安全风险突出。</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3.摩托艇海上驾乘体验服务中介</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color w:val="auto"/>
          <w:kern w:val="2"/>
          <w:sz w:val="32"/>
          <w:szCs w:val="32"/>
          <w:lang w:val="en-US" w:eastAsia="zh-CN" w:bidi="ar-SA"/>
        </w:rPr>
        <w:t>牟某某作</w:t>
      </w:r>
      <w:r>
        <w:rPr>
          <w:rFonts w:hint="eastAsia" w:ascii="仿宋_GB2312" w:hAnsi="仿宋_GB2312" w:eastAsia="仿宋_GB2312" w:cs="仿宋_GB2312"/>
          <w:b w:val="0"/>
          <w:bCs w:val="0"/>
          <w:kern w:val="2"/>
          <w:sz w:val="32"/>
          <w:szCs w:val="32"/>
          <w:lang w:val="en-US" w:eastAsia="zh-CN" w:bidi="ar-SA"/>
        </w:rPr>
        <w:t>为摩托艇海上驾乘体验服务中介，未进行工商注册，无合法经营主体。其在组织协调 6 艘摩托艇开展海上驾乘体验服务期间，未依法核实摩托艇操作人员资质，亦未查验摩托艇登记备案相关手续。</w:t>
      </w:r>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6" w:name="_Toc23698"/>
      <w:r>
        <w:rPr>
          <w:rFonts w:hint="eastAsia" w:ascii="Times New Roman" w:hAnsi="Times New Roman" w:eastAsia="楷体_GB2312" w:cs="Times New Roman"/>
          <w:color w:val="000000"/>
          <w:kern w:val="0"/>
          <w:sz w:val="32"/>
          <w:szCs w:val="32"/>
          <w:lang w:val="en-US" w:eastAsia="zh-CN"/>
        </w:rPr>
        <w:t>（三）事故发生经过</w:t>
      </w:r>
      <w:bookmarkEnd w:id="5"/>
      <w:bookmarkEnd w:id="6"/>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经事故调查组调查核实，本次事故发生过程按时间顺序还原如下：</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bookmarkStart w:id="7" w:name="heading_6"/>
      <w:r>
        <w:rPr>
          <w:rFonts w:hint="eastAsia" w:ascii="仿宋_GB2312" w:hAnsi="仿宋_GB2312" w:eastAsia="仿宋_GB2312" w:cs="仿宋_GB2312"/>
          <w:b w:val="0"/>
          <w:bCs w:val="0"/>
          <w:kern w:val="2"/>
          <w:sz w:val="32"/>
          <w:szCs w:val="32"/>
          <w:lang w:val="en-US" w:eastAsia="zh-CN" w:bidi="ar-SA"/>
        </w:rPr>
        <w:t>2025年12月7日，</w:t>
      </w:r>
      <w:r>
        <w:rPr>
          <w:rFonts w:hint="eastAsia" w:ascii="仿宋_GB2312" w:hAnsi="仿宋_GB2312" w:eastAsia="仿宋_GB2312" w:cs="仿宋_GB2312"/>
          <w:b w:val="0"/>
          <w:bCs w:val="0"/>
          <w:color w:val="auto"/>
          <w:kern w:val="2"/>
          <w:sz w:val="32"/>
          <w:szCs w:val="32"/>
          <w:lang w:val="en-US" w:eastAsia="zh-CN" w:bidi="ar-SA"/>
        </w:rPr>
        <w:t>游客张某某</w:t>
      </w:r>
      <w:r>
        <w:rPr>
          <w:rFonts w:hint="eastAsia" w:ascii="仿宋_GB2312" w:hAnsi="仿宋_GB2312" w:eastAsia="仿宋_GB2312" w:cs="仿宋_GB2312"/>
          <w:b w:val="0"/>
          <w:bCs w:val="0"/>
          <w:color w:val="auto"/>
          <w:kern w:val="2"/>
          <w:sz w:val="32"/>
          <w:szCs w:val="32"/>
          <w:lang w:val="en-US" w:eastAsia="zh-CN" w:bidi="ar-SA"/>
        </w:rPr>
        <w:t>、田某</w:t>
      </w:r>
      <w:r>
        <w:rPr>
          <w:rFonts w:hint="eastAsia" w:ascii="仿宋_GB2312" w:hAnsi="仿宋_GB2312" w:eastAsia="仿宋_GB2312" w:cs="仿宋_GB2312"/>
          <w:b w:val="0"/>
          <w:bCs w:val="0"/>
          <w:color w:val="auto"/>
          <w:kern w:val="2"/>
          <w:sz w:val="32"/>
          <w:szCs w:val="32"/>
          <w:lang w:val="en-US" w:eastAsia="zh-CN" w:bidi="ar-SA"/>
        </w:rPr>
        <w:t>、任某某</w:t>
      </w:r>
      <w:r>
        <w:rPr>
          <w:rFonts w:hint="eastAsia" w:ascii="仿宋_GB2312" w:hAnsi="仿宋_GB2312" w:eastAsia="仿宋_GB2312" w:cs="仿宋_GB2312"/>
          <w:b w:val="0"/>
          <w:bCs w:val="0"/>
          <w:color w:val="auto"/>
          <w:kern w:val="2"/>
          <w:sz w:val="32"/>
          <w:szCs w:val="32"/>
          <w:lang w:val="en-US" w:eastAsia="zh-CN" w:bidi="ar-SA"/>
        </w:rPr>
        <w:t>、阮某某</w:t>
      </w:r>
      <w:r>
        <w:rPr>
          <w:rFonts w:hint="eastAsia" w:ascii="仿宋_GB2312" w:hAnsi="仿宋_GB2312" w:eastAsia="仿宋_GB2312" w:cs="仿宋_GB2312"/>
          <w:b w:val="0"/>
          <w:bCs w:val="0"/>
          <w:color w:val="auto"/>
          <w:kern w:val="2"/>
          <w:sz w:val="32"/>
          <w:szCs w:val="32"/>
          <w:lang w:val="en-US" w:eastAsia="zh-CN" w:bidi="ar-SA"/>
        </w:rPr>
        <w:t>、章某某</w:t>
      </w:r>
      <w:r>
        <w:rPr>
          <w:rFonts w:hint="eastAsia" w:ascii="仿宋_GB2312" w:hAnsi="仿宋_GB2312" w:eastAsia="仿宋_GB2312" w:cs="仿宋_GB2312"/>
          <w:b w:val="0"/>
          <w:bCs w:val="0"/>
          <w:color w:val="auto"/>
          <w:kern w:val="2"/>
          <w:sz w:val="32"/>
          <w:szCs w:val="32"/>
          <w:lang w:val="en-US" w:eastAsia="zh-CN" w:bidi="ar-SA"/>
        </w:rPr>
        <w:t>等5名宁波游客计划前往三亚开展海上游玩活动。出行前，同行人员田某代表全体游客与三亚旅游中介杜某某对接在三亚期间的游玩行程及服务费用共计 14万元，双方协商一致后，由田某先行向杜某某转账4</w:t>
      </w:r>
      <w:r>
        <w:rPr>
          <w:rFonts w:hint="eastAsia" w:ascii="仿宋_GB2312" w:hAnsi="仿宋_GB2312" w:eastAsia="仿宋_GB2312" w:cs="仿宋_GB2312"/>
          <w:b w:val="0"/>
          <w:bCs w:val="0"/>
          <w:kern w:val="2"/>
          <w:sz w:val="32"/>
          <w:szCs w:val="32"/>
          <w:lang w:val="en-US" w:eastAsia="zh-CN" w:bidi="ar-SA"/>
        </w:rPr>
        <w:t>万元，作为本次游玩项目前期服务费用。</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2025年12月17日，</w:t>
      </w:r>
      <w:r>
        <w:rPr>
          <w:rFonts w:hint="eastAsia" w:ascii="仿宋_GB2312" w:hAnsi="仿宋_GB2312" w:eastAsia="仿宋_GB2312" w:cs="仿宋_GB2312"/>
          <w:b w:val="0"/>
          <w:bCs w:val="0"/>
          <w:color w:val="auto"/>
          <w:kern w:val="2"/>
          <w:sz w:val="32"/>
          <w:szCs w:val="32"/>
          <w:lang w:val="en-US" w:eastAsia="zh-CN" w:bidi="ar-SA"/>
        </w:rPr>
        <w:t>田某再次委托杜某某为其一行人员预订三亚海上游艇、摩托艇等海上娱乐项目，并再次向杜某某转账 5万元。随后，杜某某对接“森康号”游艇船长黄某某2</w:t>
      </w:r>
      <w:r>
        <w:rPr>
          <w:rFonts w:hint="eastAsia" w:ascii="仿宋_GB2312" w:hAnsi="仿宋_GB2312" w:eastAsia="仿宋_GB2312" w:cs="仿宋_GB2312"/>
          <w:b w:val="0"/>
          <w:bCs w:val="0"/>
          <w:kern w:val="2"/>
          <w:sz w:val="32"/>
          <w:szCs w:val="32"/>
          <w:lang w:val="en-US" w:eastAsia="zh-CN" w:bidi="ar-SA"/>
        </w:rPr>
        <w:t>，预订2025年12月18日游艇出海游玩服务；同时联系海上摩托艇驾乘体验服务项目中</w:t>
      </w:r>
      <w:r>
        <w:rPr>
          <w:rFonts w:hint="eastAsia" w:ascii="仿宋_GB2312" w:hAnsi="仿宋_GB2312" w:eastAsia="仿宋_GB2312" w:cs="仿宋_GB2312"/>
          <w:b w:val="0"/>
          <w:bCs w:val="0"/>
          <w:color w:val="auto"/>
          <w:kern w:val="2"/>
          <w:sz w:val="32"/>
          <w:szCs w:val="32"/>
          <w:lang w:val="en-US" w:eastAsia="zh-CN" w:bidi="ar-SA"/>
        </w:rPr>
        <w:t>介牟某某，委托其统筹安排本次出海配套海上摩托艇驾乘体验项目，并向牟某某提</w:t>
      </w:r>
      <w:r>
        <w:rPr>
          <w:rFonts w:hint="eastAsia" w:ascii="仿宋_GB2312" w:hAnsi="仿宋_GB2312" w:eastAsia="仿宋_GB2312" w:cs="仿宋_GB2312"/>
          <w:b w:val="0"/>
          <w:bCs w:val="0"/>
          <w:kern w:val="2"/>
          <w:sz w:val="32"/>
          <w:szCs w:val="32"/>
          <w:lang w:val="en-US" w:eastAsia="zh-CN" w:bidi="ar-SA"/>
        </w:rPr>
        <w:t>供了游艇相关信息及船长联系方式。</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2025年12月18日下午，</w:t>
      </w:r>
      <w:r>
        <w:rPr>
          <w:rFonts w:hint="eastAsia" w:ascii="仿宋_GB2312" w:hAnsi="仿宋_GB2312" w:eastAsia="仿宋_GB2312" w:cs="仿宋_GB2312"/>
          <w:b w:val="0"/>
          <w:bCs w:val="0"/>
          <w:color w:val="auto"/>
          <w:kern w:val="2"/>
          <w:sz w:val="32"/>
          <w:szCs w:val="32"/>
          <w:lang w:val="en-US" w:eastAsia="zh-CN" w:bidi="ar-SA"/>
        </w:rPr>
        <w:t>牟某某电话联系刘某某，告知其需要 6 艘摩托艇提供海上驾乘体验服务。接电话时，丁某某、于某某、某涛、黄某某1</w:t>
      </w:r>
      <w:r>
        <w:rPr>
          <w:rFonts w:hint="eastAsia" w:ascii="仿宋_GB2312" w:hAnsi="仿宋_GB2312" w:eastAsia="仿宋_GB2312" w:cs="仿宋_GB2312"/>
          <w:b w:val="0"/>
          <w:bCs w:val="0"/>
          <w:kern w:val="2"/>
          <w:sz w:val="32"/>
          <w:szCs w:val="32"/>
          <w:lang w:val="en-US" w:eastAsia="zh-CN" w:bidi="ar-SA"/>
        </w:rPr>
        <w:t>等人</w:t>
      </w:r>
      <w:r>
        <w:rPr>
          <w:rFonts w:hint="eastAsia" w:ascii="仿宋_GB2312" w:hAnsi="仿宋_GB2312" w:eastAsia="仿宋_GB2312" w:cs="仿宋_GB2312"/>
          <w:b w:val="0"/>
          <w:bCs w:val="0"/>
          <w:color w:val="auto"/>
          <w:kern w:val="2"/>
          <w:sz w:val="32"/>
          <w:szCs w:val="32"/>
          <w:lang w:val="en-US" w:eastAsia="zh-CN" w:bidi="ar-SA"/>
        </w:rPr>
        <w:t>与刘某某</w:t>
      </w:r>
      <w:r>
        <w:rPr>
          <w:rFonts w:hint="eastAsia" w:ascii="仿宋_GB2312" w:hAnsi="仿宋_GB2312" w:eastAsia="仿宋_GB2312" w:cs="仿宋_GB2312"/>
          <w:b w:val="0"/>
          <w:bCs w:val="0"/>
          <w:kern w:val="2"/>
          <w:sz w:val="32"/>
          <w:szCs w:val="32"/>
          <w:lang w:val="en-US" w:eastAsia="zh-CN" w:bidi="ar-SA"/>
        </w:rPr>
        <w:t>同在一处，上述4人共同提供 6 艘摩托艇参与本次海上摩托艇驾乘体验项目，其中</w:t>
      </w:r>
      <w:r>
        <w:rPr>
          <w:rFonts w:hint="eastAsia" w:ascii="仿宋_GB2312" w:hAnsi="仿宋_GB2312" w:eastAsia="仿宋_GB2312" w:cs="仿宋_GB2312"/>
          <w:b w:val="0"/>
          <w:bCs w:val="0"/>
          <w:color w:val="auto"/>
          <w:kern w:val="2"/>
          <w:sz w:val="32"/>
          <w:szCs w:val="32"/>
          <w:lang w:val="en-US" w:eastAsia="zh-CN" w:bidi="ar-SA"/>
        </w:rPr>
        <w:t>刘某某2 艘</w:t>
      </w:r>
      <w:r>
        <w:rPr>
          <w:rFonts w:hint="eastAsia" w:ascii="仿宋_GB2312" w:hAnsi="仿宋_GB2312" w:eastAsia="仿宋_GB2312" w:cs="仿宋_GB2312"/>
          <w:b w:val="0"/>
          <w:bCs w:val="0"/>
          <w:kern w:val="2"/>
          <w:sz w:val="32"/>
          <w:szCs w:val="32"/>
          <w:lang w:val="en-US" w:eastAsia="zh-CN" w:bidi="ar-SA"/>
        </w:rPr>
        <w:t>、</w:t>
      </w:r>
      <w:r>
        <w:rPr>
          <w:rFonts w:hint="eastAsia" w:ascii="仿宋_GB2312" w:hAnsi="仿宋_GB2312" w:eastAsia="仿宋_GB2312" w:cs="仿宋_GB2312"/>
          <w:b w:val="0"/>
          <w:bCs w:val="0"/>
          <w:color w:val="auto"/>
          <w:kern w:val="2"/>
          <w:sz w:val="32"/>
          <w:szCs w:val="32"/>
          <w:lang w:val="en-US" w:eastAsia="zh-CN" w:bidi="ar-SA"/>
        </w:rPr>
        <w:t>丁某某1艘、于某某1艘、某涛2艘，黄某某1</w:t>
      </w:r>
      <w:r>
        <w:rPr>
          <w:rFonts w:hint="eastAsia" w:ascii="仿宋_GB2312" w:hAnsi="仿宋_GB2312" w:eastAsia="仿宋_GB2312" w:cs="仿宋_GB2312"/>
          <w:b w:val="0"/>
          <w:bCs w:val="0"/>
          <w:kern w:val="2"/>
          <w:sz w:val="32"/>
          <w:szCs w:val="32"/>
          <w:lang w:val="en-US" w:eastAsia="zh-CN" w:bidi="ar-SA"/>
        </w:rPr>
        <w:t>作为本次摩托艇体验项目的教练，随同众人一同前往游艇码头附近海域集结。</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2025年12月18日14时17分，</w:t>
      </w:r>
      <w:r>
        <w:rPr>
          <w:rFonts w:hint="eastAsia" w:ascii="仿宋_GB2312" w:hAnsi="仿宋_GB2312" w:eastAsia="仿宋_GB2312" w:cs="仿宋_GB2312"/>
          <w:b w:val="0"/>
          <w:bCs w:val="0"/>
          <w:color w:val="auto"/>
          <w:kern w:val="2"/>
          <w:sz w:val="32"/>
          <w:szCs w:val="32"/>
          <w:lang w:val="en-US" w:eastAsia="zh-CN" w:bidi="ar-SA"/>
        </w:rPr>
        <w:t>田某通过微信向杜某某第三次转账5万元。截至该笔转账完成，田某为</w:t>
      </w:r>
      <w:r>
        <w:rPr>
          <w:rFonts w:hint="eastAsia" w:ascii="仿宋_GB2312" w:hAnsi="仿宋_GB2312" w:eastAsia="仿宋_GB2312" w:cs="仿宋_GB2312"/>
          <w:b w:val="0"/>
          <w:bCs w:val="0"/>
          <w:kern w:val="2"/>
          <w:sz w:val="32"/>
          <w:szCs w:val="32"/>
          <w:lang w:val="en-US" w:eastAsia="zh-CN" w:bidi="ar-SA"/>
        </w:rPr>
        <w:t>其一行5人三亚游玩事宜，累计向</w:t>
      </w:r>
      <w:r>
        <w:rPr>
          <w:rFonts w:hint="eastAsia" w:ascii="仿宋_GB2312" w:hAnsi="仿宋_GB2312" w:eastAsia="仿宋_GB2312" w:cs="仿宋_GB2312"/>
          <w:b w:val="0"/>
          <w:bCs w:val="0"/>
          <w:color w:val="auto"/>
          <w:kern w:val="2"/>
          <w:sz w:val="32"/>
          <w:szCs w:val="32"/>
          <w:lang w:val="en-US" w:eastAsia="zh-CN" w:bidi="ar-SA"/>
        </w:rPr>
        <w:t>杜某某</w:t>
      </w:r>
      <w:r>
        <w:rPr>
          <w:rFonts w:hint="eastAsia" w:ascii="仿宋_GB2312" w:hAnsi="仿宋_GB2312" w:eastAsia="仿宋_GB2312" w:cs="仿宋_GB2312"/>
          <w:b w:val="0"/>
          <w:bCs w:val="0"/>
          <w:kern w:val="2"/>
          <w:sz w:val="32"/>
          <w:szCs w:val="32"/>
          <w:lang w:val="en-US" w:eastAsia="zh-CN" w:bidi="ar-SA"/>
        </w:rPr>
        <w:t>转账14万元。</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2025年12月18日15时30分许，</w:t>
      </w:r>
      <w:r>
        <w:rPr>
          <w:rFonts w:hint="eastAsia" w:ascii="仿宋_GB2312" w:hAnsi="仿宋_GB2312" w:eastAsia="仿宋_GB2312" w:cs="仿宋_GB2312"/>
          <w:b w:val="0"/>
          <w:bCs w:val="0"/>
          <w:color w:val="auto"/>
          <w:kern w:val="2"/>
          <w:sz w:val="32"/>
          <w:szCs w:val="32"/>
          <w:lang w:val="en-US" w:eastAsia="zh-CN" w:bidi="ar-SA"/>
        </w:rPr>
        <w:t>牟某某通过微信向刘某某再次确认，已落实6艘摩托艇为张某某一行5人提供海上驾乘体验服务，并将负责接送张某某等人往返摩托艇体验海域的游艇船长黄某某2</w:t>
      </w:r>
      <w:r>
        <w:rPr>
          <w:rFonts w:hint="eastAsia" w:ascii="仿宋_GB2312" w:hAnsi="仿宋_GB2312" w:eastAsia="仿宋_GB2312" w:cs="仿宋_GB2312"/>
          <w:b w:val="0"/>
          <w:bCs w:val="0"/>
          <w:kern w:val="2"/>
          <w:sz w:val="32"/>
          <w:szCs w:val="32"/>
          <w:lang w:val="en-US" w:eastAsia="zh-CN" w:bidi="ar-SA"/>
        </w:rPr>
        <w:t>的联系方式推送</w:t>
      </w:r>
      <w:r>
        <w:rPr>
          <w:rFonts w:hint="eastAsia" w:ascii="仿宋_GB2312" w:hAnsi="仿宋_GB2312" w:eastAsia="仿宋_GB2312" w:cs="仿宋_GB2312"/>
          <w:b w:val="0"/>
          <w:bCs w:val="0"/>
          <w:color w:val="auto"/>
          <w:kern w:val="2"/>
          <w:sz w:val="32"/>
          <w:szCs w:val="32"/>
          <w:lang w:val="en-US" w:eastAsia="zh-CN" w:bidi="ar-SA"/>
        </w:rPr>
        <w:t>给刘某某。刘某某随即电话联系“森康号”游艇船长黄某某2</w:t>
      </w:r>
      <w:r>
        <w:rPr>
          <w:rFonts w:hint="eastAsia" w:ascii="仿宋_GB2312" w:hAnsi="仿宋_GB2312" w:eastAsia="仿宋_GB2312" w:cs="仿宋_GB2312"/>
          <w:b w:val="0"/>
          <w:bCs w:val="0"/>
          <w:kern w:val="2"/>
          <w:sz w:val="32"/>
          <w:szCs w:val="32"/>
          <w:lang w:val="en-US" w:eastAsia="zh-CN" w:bidi="ar-SA"/>
        </w:rPr>
        <w:t>，与</w:t>
      </w:r>
      <w:r>
        <w:rPr>
          <w:rFonts w:hint="eastAsia" w:ascii="仿宋_GB2312" w:hAnsi="仿宋_GB2312" w:eastAsia="仿宋_GB2312" w:cs="仿宋_GB2312"/>
          <w:b w:val="0"/>
          <w:bCs w:val="0"/>
          <w:color w:val="auto"/>
          <w:kern w:val="2"/>
          <w:sz w:val="32"/>
          <w:szCs w:val="32"/>
          <w:lang w:val="en-US" w:eastAsia="zh-CN" w:bidi="ar-SA"/>
        </w:rPr>
        <w:t>丁某某、于某某、黄某某1、某涛</w:t>
      </w:r>
      <w:r>
        <w:rPr>
          <w:rFonts w:hint="eastAsia" w:ascii="仿宋_GB2312" w:hAnsi="仿宋_GB2312" w:eastAsia="仿宋_GB2312" w:cs="仿宋_GB2312"/>
          <w:b w:val="0"/>
          <w:bCs w:val="0"/>
          <w:kern w:val="2"/>
          <w:sz w:val="32"/>
          <w:szCs w:val="32"/>
          <w:lang w:val="en-US" w:eastAsia="zh-CN" w:bidi="ar-SA"/>
        </w:rPr>
        <w:t>等共计5人，先后驾驶6艘摩托艇（其</w:t>
      </w:r>
      <w:r>
        <w:rPr>
          <w:rFonts w:hint="eastAsia" w:ascii="仿宋_GB2312" w:hAnsi="仿宋_GB2312" w:eastAsia="仿宋_GB2312" w:cs="仿宋_GB2312"/>
          <w:b w:val="0"/>
          <w:bCs w:val="0"/>
          <w:color w:val="auto"/>
          <w:kern w:val="2"/>
          <w:sz w:val="32"/>
          <w:szCs w:val="32"/>
          <w:lang w:val="en-US" w:eastAsia="zh-CN" w:bidi="ar-SA"/>
        </w:rPr>
        <w:t>中某涛自己</w:t>
      </w:r>
      <w:r>
        <w:rPr>
          <w:rFonts w:hint="eastAsia" w:ascii="仿宋_GB2312" w:hAnsi="仿宋_GB2312" w:eastAsia="仿宋_GB2312" w:cs="仿宋_GB2312"/>
          <w:b w:val="0"/>
          <w:bCs w:val="0"/>
          <w:kern w:val="2"/>
          <w:sz w:val="32"/>
          <w:szCs w:val="32"/>
          <w:lang w:val="en-US" w:eastAsia="zh-CN" w:bidi="ar-SA"/>
        </w:rPr>
        <w:t>驾驶1艘摩托艇，并拖带1艘摩托艇）从国际游艇码头前往鸿洲码头外海域集结，跟随停泊在鸿洲码头的“森康号”游艇一同出海。</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本次出海的“森康号”游艇</w:t>
      </w:r>
      <w:r>
        <w:rPr>
          <w:rFonts w:hint="eastAsia" w:ascii="仿宋_GB2312" w:hAnsi="仿宋_GB2312" w:eastAsia="仿宋_GB2312" w:cs="仿宋_GB2312"/>
          <w:b w:val="0"/>
          <w:bCs w:val="0"/>
          <w:color w:val="auto"/>
          <w:kern w:val="2"/>
          <w:sz w:val="32"/>
          <w:szCs w:val="32"/>
          <w:lang w:val="en-US" w:eastAsia="zh-CN" w:bidi="ar-SA"/>
        </w:rPr>
        <w:t>由黄某某2担任船长、卢春游担任水手，事发当日该游艇搭载张某某、任某某等5</w:t>
      </w:r>
      <w:r>
        <w:rPr>
          <w:rFonts w:hint="eastAsia" w:ascii="仿宋_GB2312" w:hAnsi="仿宋_GB2312" w:eastAsia="仿宋_GB2312" w:cs="仿宋_GB2312"/>
          <w:b w:val="0"/>
          <w:bCs w:val="0"/>
          <w:kern w:val="2"/>
          <w:sz w:val="32"/>
          <w:szCs w:val="32"/>
          <w:lang w:val="en-US" w:eastAsia="zh-CN" w:bidi="ar-SA"/>
        </w:rPr>
        <w:t>人、其他3名游客及2名游艇宝贝，共计12人，从鸿洲码头驶往凤凰岛附近海域。出海过程中，国际游艇码头运营管理单位未对本次随行出海的6艘摩托艇开展船舶备案核验、驾驶员从业资质查验等安全管控工作，涉事摩托艇未经核查直接出海作业。</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2025年12月18日15时50分许，游艇航行至凤凰岛附近指定海域后，</w:t>
      </w:r>
      <w:r>
        <w:rPr>
          <w:rFonts w:hint="eastAsia" w:ascii="仿宋_GB2312" w:hAnsi="仿宋_GB2312" w:eastAsia="仿宋_GB2312" w:cs="仿宋_GB2312"/>
          <w:b w:val="0"/>
          <w:bCs w:val="0"/>
          <w:color w:val="auto"/>
          <w:kern w:val="2"/>
          <w:sz w:val="32"/>
          <w:szCs w:val="32"/>
          <w:lang w:val="en-US" w:eastAsia="zh-CN" w:bidi="ar-SA"/>
        </w:rPr>
        <w:t>张某某一行5人换乘摩托艇开展海上摩托艇驾乘体验。黄某某1负</w:t>
      </w:r>
      <w:r>
        <w:rPr>
          <w:rFonts w:hint="eastAsia" w:ascii="仿宋_GB2312" w:hAnsi="仿宋_GB2312" w:eastAsia="仿宋_GB2312" w:cs="仿宋_GB2312"/>
          <w:b w:val="0"/>
          <w:bCs w:val="0"/>
          <w:kern w:val="2"/>
          <w:sz w:val="32"/>
          <w:szCs w:val="32"/>
          <w:lang w:val="en-US" w:eastAsia="zh-CN" w:bidi="ar-SA"/>
        </w:rPr>
        <w:t>责对参与体验的游客进行驾乘指导。</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2025年12月18日16时许，</w:t>
      </w:r>
      <w:r>
        <w:rPr>
          <w:rFonts w:hint="eastAsia" w:ascii="仿宋_GB2312" w:hAnsi="仿宋_GB2312" w:eastAsia="仿宋_GB2312" w:cs="仿宋_GB2312"/>
          <w:b w:val="0"/>
          <w:bCs w:val="0"/>
          <w:color w:val="auto"/>
          <w:kern w:val="2"/>
          <w:sz w:val="32"/>
          <w:szCs w:val="32"/>
          <w:lang w:val="en-US" w:eastAsia="zh-CN" w:bidi="ar-SA"/>
        </w:rPr>
        <w:t>黄某某1对张某某、任某某等摩托艇海上驾乘体验人员开展摩托艇驾乘培训。随后张某某、任某某等5人开始驾乘体验。</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2025年12月18日16时10分许，部分游客结束体验后不再继续游玩</w:t>
      </w:r>
      <w:r>
        <w:rPr>
          <w:rFonts w:hint="eastAsia" w:ascii="仿宋_GB2312" w:hAnsi="仿宋_GB2312" w:eastAsia="仿宋_GB2312" w:cs="仿宋_GB2312"/>
          <w:b w:val="0"/>
          <w:bCs w:val="0"/>
          <w:color w:val="auto"/>
          <w:kern w:val="2"/>
          <w:sz w:val="32"/>
          <w:szCs w:val="32"/>
          <w:lang w:val="en-US" w:eastAsia="zh-CN" w:bidi="ar-SA"/>
        </w:rPr>
        <w:t>，黄某某1随即开展人员接驳，将结束体验的游客接送回游艇。在人员接驳期间，张某某、任某某等人再次驾驶摩托艇高速驶出。黄某某1现场发现张某某、任某某二人驾驶的两艘摩托艇行驶速度过快、艇距过近，存在明显安全风险，当即现场大声喊话提醒制止，但张某某、任某某二</w:t>
      </w:r>
      <w:r>
        <w:rPr>
          <w:rFonts w:hint="eastAsia" w:ascii="仿宋_GB2312" w:hAnsi="仿宋_GB2312" w:eastAsia="仿宋_GB2312" w:cs="仿宋_GB2312"/>
          <w:b w:val="0"/>
          <w:bCs w:val="0"/>
          <w:kern w:val="2"/>
          <w:sz w:val="32"/>
          <w:szCs w:val="32"/>
          <w:lang w:val="en-US" w:eastAsia="zh-CN" w:bidi="ar-SA"/>
        </w:rPr>
        <w:t>人均未及时采取减速、避让、拉开间距等安全操作。</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2025年12月18日16时12分许</w:t>
      </w:r>
      <w:r>
        <w:rPr>
          <w:rFonts w:hint="eastAsia" w:ascii="仿宋_GB2312" w:hAnsi="仿宋_GB2312" w:eastAsia="仿宋_GB2312" w:cs="仿宋_GB2312"/>
          <w:b w:val="0"/>
          <w:bCs w:val="0"/>
          <w:color w:val="auto"/>
          <w:kern w:val="2"/>
          <w:sz w:val="32"/>
          <w:szCs w:val="32"/>
          <w:lang w:val="en-US" w:eastAsia="zh-CN" w:bidi="ar-SA"/>
        </w:rPr>
        <w:t>，张某某、任某某二人各自高速驾驶摩托艇约15秒后，张某某</w:t>
      </w:r>
      <w:r>
        <w:rPr>
          <w:rFonts w:hint="eastAsia" w:ascii="仿宋_GB2312" w:hAnsi="仿宋_GB2312" w:eastAsia="仿宋_GB2312" w:cs="仿宋_GB2312"/>
          <w:b w:val="0"/>
          <w:bCs w:val="0"/>
          <w:color w:val="auto"/>
          <w:kern w:val="2"/>
          <w:sz w:val="32"/>
          <w:szCs w:val="32"/>
          <w:lang w:val="en-US" w:eastAsia="zh-CN" w:bidi="ar-SA"/>
        </w:rPr>
        <w:t>突然向任某某</w:t>
      </w:r>
      <w:r>
        <w:rPr>
          <w:rFonts w:hint="eastAsia" w:ascii="仿宋_GB2312" w:hAnsi="仿宋_GB2312" w:eastAsia="仿宋_GB2312" w:cs="仿宋_GB2312"/>
          <w:b w:val="0"/>
          <w:bCs w:val="0"/>
          <w:color w:val="auto"/>
          <w:kern w:val="2"/>
          <w:sz w:val="32"/>
          <w:szCs w:val="32"/>
          <w:lang w:val="en-US" w:eastAsia="zh-CN" w:bidi="ar-SA"/>
        </w:rPr>
        <w:t>驾驶的摩托艇一侧转向，因两艘摩托艇行驶速度快、安全间距不足，任某某</w:t>
      </w:r>
      <w:r>
        <w:rPr>
          <w:rFonts w:hint="eastAsia" w:ascii="仿宋_GB2312" w:hAnsi="仿宋_GB2312" w:eastAsia="仿宋_GB2312" w:cs="仿宋_GB2312"/>
          <w:b w:val="0"/>
          <w:bCs w:val="0"/>
          <w:color w:val="auto"/>
          <w:kern w:val="2"/>
          <w:sz w:val="32"/>
          <w:szCs w:val="32"/>
          <w:lang w:val="en-US" w:eastAsia="zh-CN" w:bidi="ar-SA"/>
        </w:rPr>
        <w:t>无法及时有效避让，导致其驾驶的摩托艇首部及护杠部位与张某某</w:t>
      </w:r>
      <w:r>
        <w:rPr>
          <w:rFonts w:hint="eastAsia" w:ascii="仿宋_GB2312" w:hAnsi="仿宋_GB2312" w:eastAsia="仿宋_GB2312" w:cs="仿宋_GB2312"/>
          <w:b w:val="0"/>
          <w:bCs w:val="0"/>
          <w:color w:val="auto"/>
          <w:kern w:val="2"/>
          <w:sz w:val="32"/>
          <w:szCs w:val="32"/>
          <w:lang w:val="en-US" w:eastAsia="zh-CN" w:bidi="ar-SA"/>
        </w:rPr>
        <w:t>驾驶的摩托艇发生碰撞。事故碰撞直接造成张某某</w:t>
      </w:r>
      <w:r>
        <w:rPr>
          <w:rFonts w:hint="eastAsia" w:ascii="仿宋_GB2312" w:hAnsi="仿宋_GB2312" w:eastAsia="仿宋_GB2312" w:cs="仿宋_GB2312"/>
          <w:b w:val="0"/>
          <w:bCs w:val="0"/>
          <w:color w:val="auto"/>
          <w:kern w:val="2"/>
          <w:sz w:val="32"/>
          <w:szCs w:val="32"/>
          <w:lang w:val="en-US" w:eastAsia="zh-CN" w:bidi="ar-SA"/>
        </w:rPr>
        <w:t>驾驶的摩托艇操控把手断裂、左侧观后镜破碎、艇身灰色外壳破裂35厘米，同时导致张某某</w:t>
      </w:r>
      <w:r>
        <w:rPr>
          <w:rFonts w:hint="eastAsia" w:ascii="仿宋_GB2312" w:hAnsi="仿宋_GB2312" w:eastAsia="仿宋_GB2312" w:cs="仿宋_GB2312"/>
          <w:b w:val="0"/>
          <w:bCs w:val="0"/>
          <w:color w:val="auto"/>
          <w:kern w:val="2"/>
          <w:sz w:val="32"/>
          <w:szCs w:val="32"/>
          <w:lang w:val="en-US" w:eastAsia="zh-CN" w:bidi="ar-SA"/>
        </w:rPr>
        <w:t>下巴及颅脑等多处受损出血、人员当场受伤昏迷。</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2025年12月18日16时15分许，现场工作人员第一时间拨打120急救电话及110报警电话，同时迅速将伤者</w:t>
      </w:r>
      <w:r>
        <w:rPr>
          <w:rFonts w:hint="eastAsia" w:ascii="仿宋_GB2312" w:hAnsi="仿宋_GB2312" w:eastAsia="仿宋_GB2312" w:cs="仿宋_GB2312"/>
          <w:b w:val="0"/>
          <w:bCs w:val="0"/>
          <w:color w:val="auto"/>
          <w:kern w:val="2"/>
          <w:sz w:val="32"/>
          <w:szCs w:val="32"/>
          <w:lang w:val="en-US" w:eastAsia="zh-CN" w:bidi="ar-SA"/>
        </w:rPr>
        <w:t>张某某紧急救援转移至“森康号”游艇，开展临时止血、伤情处置等现场施救工作，并立即终止全部海上游玩项目，游艇紧急返航靠岸。</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2025年12月18日17时20分许，120医护人员到现场开展医疗救护工作，17时50分许，经120医护人员现场抢救，最终宣布张某某</w:t>
      </w:r>
      <w:r>
        <w:rPr>
          <w:rFonts w:hint="eastAsia" w:ascii="仿宋_GB2312" w:hAnsi="仿宋_GB2312" w:eastAsia="仿宋_GB2312" w:cs="仿宋_GB2312"/>
          <w:b w:val="0"/>
          <w:bCs w:val="0"/>
          <w:color w:val="auto"/>
          <w:kern w:val="2"/>
          <w:sz w:val="32"/>
          <w:szCs w:val="32"/>
          <w:lang w:val="en-US" w:eastAsia="zh-CN" w:bidi="ar-SA"/>
        </w:rPr>
        <w:t>抢救无效死亡。事故造成1人死亡。</w:t>
      </w:r>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8" w:name="_Toc26083"/>
      <w:r>
        <w:rPr>
          <w:rFonts w:hint="eastAsia" w:ascii="Times New Roman" w:hAnsi="Times New Roman" w:eastAsia="楷体_GB2312" w:cs="Times New Roman"/>
          <w:color w:val="000000"/>
          <w:kern w:val="0"/>
          <w:sz w:val="32"/>
          <w:szCs w:val="32"/>
          <w:lang w:val="en-US" w:eastAsia="zh-CN"/>
        </w:rPr>
        <w:t>（四）事故现场情况</w:t>
      </w:r>
      <w:bookmarkEnd w:id="7"/>
      <w:bookmarkEnd w:id="8"/>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1.事故地点自然及地理环境</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事故发生于三亚市天涯区凤凰岛灯塔外侧2号附近海域，该海域为近岸休闲水域，事发当日天气多云，温度26℃，相对湿度 70%，海面风力2-3级，能见度良好，无暴雨、雷电等恶劣气象条件，海域周边无暗礁、浅滩等明显安全隐患，适合小型船舶航行，未对事故发生造成影响。</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2.事故现场破坏情况</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事故现场位于海上，现场无人员滞留，无其他船舶受损，无海域污染等次生灾害发生。</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3.伤亡人员位置关系</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事发时被撞摩托艇驾驶人</w:t>
      </w:r>
      <w:r>
        <w:rPr>
          <w:rFonts w:hint="eastAsia" w:ascii="仿宋_GB2312" w:hAnsi="仿宋_GB2312" w:eastAsia="仿宋_GB2312" w:cs="仿宋_GB2312"/>
          <w:b w:val="0"/>
          <w:bCs w:val="0"/>
          <w:color w:val="auto"/>
          <w:kern w:val="2"/>
          <w:sz w:val="32"/>
          <w:szCs w:val="32"/>
          <w:lang w:val="en-US" w:eastAsia="zh-CN" w:bidi="ar-SA"/>
        </w:rPr>
        <w:t>员张某某处</w:t>
      </w:r>
      <w:r>
        <w:rPr>
          <w:rFonts w:hint="eastAsia" w:ascii="仿宋_GB2312" w:hAnsi="仿宋_GB2312" w:eastAsia="仿宋_GB2312" w:cs="仿宋_GB2312"/>
          <w:b w:val="0"/>
          <w:bCs w:val="0"/>
          <w:kern w:val="2"/>
          <w:sz w:val="32"/>
          <w:szCs w:val="32"/>
          <w:lang w:val="en-US" w:eastAsia="zh-CN" w:bidi="ar-SA"/>
        </w:rPr>
        <w:t>于其驾驶的摩托艇驾驶位，头颈部朝向碰撞方向，现场人员对其进行救援时已脱离驾驶位，由现场人员在海上将其打捞到“森康号”游艇上并施救。</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4.现场证据留存</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三亚市公安局天涯分局刑侦大队已对事故现场开展全面勘验取证工作，出具《现场勘验笔录》（琼三公天涯（事）勘[2025]121901号）。勘验过程中，办案人员固定两艘事故摩托艇破损痕迹、体表血迹、撞击点位等关键物证，拍摄现场影像资料，调取、留存摩托艇航行碰撞轨迹数据，同步询问现场目击人员并固定证人证言。全部勘验材料程序合法、内容真实、形式规范，符合刑事及行政案件证据标准，作为本次事故调查的核心依据</w:t>
      </w:r>
      <w:r>
        <w:rPr>
          <w:rFonts w:hint="eastAsia" w:ascii="方正仿宋_GB2312" w:hAnsi="方正仿宋_GB2312" w:eastAsia="方正仿宋_GB2312" w:cs="方正仿宋_GB2312"/>
          <w:color w:val="auto"/>
          <w:sz w:val="32"/>
          <w:szCs w:val="32"/>
          <w:highlight w:val="none"/>
        </w:rPr>
        <w:t>。</w:t>
      </w:r>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9" w:name="heading_7"/>
      <w:bookmarkStart w:id="10" w:name="_Toc6388"/>
      <w:r>
        <w:rPr>
          <w:rFonts w:hint="eastAsia" w:ascii="Times New Roman" w:hAnsi="Times New Roman" w:eastAsia="楷体_GB2312" w:cs="Times New Roman"/>
          <w:color w:val="000000"/>
          <w:kern w:val="0"/>
          <w:sz w:val="32"/>
          <w:szCs w:val="32"/>
          <w:lang w:val="en-US" w:eastAsia="zh-CN"/>
        </w:rPr>
        <w:t>（五）人员伤亡和直接经济损失情况</w:t>
      </w:r>
      <w:bookmarkEnd w:id="9"/>
      <w:bookmarkEnd w:id="10"/>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1.人员伤亡情况</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本次事故造成1人死亡，无失踪、受伤人员。</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死亡人员基本情况</w:t>
      </w:r>
      <w:r>
        <w:rPr>
          <w:rFonts w:hint="eastAsia" w:ascii="仿宋_GB2312" w:hAnsi="仿宋_GB2312" w:eastAsia="仿宋_GB2312" w:cs="仿宋_GB2312"/>
          <w:b w:val="0"/>
          <w:bCs w:val="0"/>
          <w:color w:val="auto"/>
          <w:kern w:val="2"/>
          <w:sz w:val="32"/>
          <w:szCs w:val="32"/>
          <w:lang w:val="en-US" w:eastAsia="zh-CN" w:bidi="ar-SA"/>
        </w:rPr>
        <w:t>：张某某，</w:t>
      </w:r>
      <w:r>
        <w:rPr>
          <w:rFonts w:hint="eastAsia" w:ascii="仿宋_GB2312" w:hAnsi="仿宋_GB2312" w:eastAsia="仿宋_GB2312" w:cs="仿宋_GB2312"/>
          <w:b w:val="0"/>
          <w:bCs w:val="0"/>
          <w:kern w:val="2"/>
          <w:sz w:val="32"/>
          <w:szCs w:val="32"/>
          <w:lang w:val="en-US" w:eastAsia="zh-CN" w:bidi="ar-SA"/>
        </w:rPr>
        <w:t>男，33岁。系事故中相撞两艘摩托艇中的一艘摩托艇驾驶员，无摩托艇驾驶证书，事故中因颅脑损伤经抢救无效死亡。</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2.直接经济损失情况</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根据《生产安全事故直接经济损失统计要求》（GB 6721-2025），直接经济损失主要包括：因事故造成人身伤亡后所支出的费用（包括：医疗费、护理费、营养费、丧葬及抚恤费用、补助及救济费用、歇工工资或误工费、残疾赔偿金或死亡赔偿金）、财产损失价值、事故应急救援费用、清理事故现场以及影响区域的费用和事务性费用的经济价值。</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经核定，本次事故直接经济损失约120万元。</w:t>
      </w:r>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11" w:name="heading_8"/>
      <w:bookmarkStart w:id="12" w:name="_Toc868"/>
      <w:r>
        <w:rPr>
          <w:rFonts w:hint="eastAsia" w:ascii="Times New Roman" w:hAnsi="Times New Roman" w:eastAsia="楷体_GB2312" w:cs="Times New Roman"/>
          <w:color w:val="000000"/>
          <w:kern w:val="0"/>
          <w:sz w:val="32"/>
          <w:szCs w:val="32"/>
          <w:lang w:val="en-US" w:eastAsia="zh-CN"/>
        </w:rPr>
        <w:t>（六）其他情况</w:t>
      </w:r>
      <w:bookmarkEnd w:id="11"/>
      <w:bookmarkEnd w:id="12"/>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1.气象及环境情况</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事发当日三亚市天气晴朗，气温20～29℃，海面风力东北风2-3级，能见度≥5公里，湿度约65～75%，无降雨、雷电、强对流等恶劣气象条件，海域水质良好，无影响船舶航行的异常环境因素，气象及环境条件与事故发生无关联。</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2.舆论关注情况</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事故发生后，三亚市相关部门及时发布事故处置进展信息，回应社会关切，做好舆情引导工作，未发生舆论发酵、负面炒作等社会舆情，社会秩序保持稳定。</w:t>
      </w:r>
    </w:p>
    <w:p>
      <w:pPr>
        <w:spacing w:line="560" w:lineRule="exact"/>
        <w:ind w:firstLine="640" w:firstLineChars="200"/>
        <w:outlineLvl w:val="0"/>
        <w:rPr>
          <w:rFonts w:hint="eastAsia" w:ascii="黑体" w:hAnsi="黑体" w:eastAsia="黑体" w:cs="黑体"/>
          <w:b w:val="0"/>
          <w:bCs/>
          <w:color w:val="auto"/>
          <w:sz w:val="32"/>
          <w:highlight w:val="none"/>
        </w:rPr>
      </w:pPr>
      <w:bookmarkStart w:id="13" w:name="_Toc10010"/>
      <w:bookmarkStart w:id="14" w:name="heading_9"/>
      <w:r>
        <w:rPr>
          <w:rFonts w:hint="eastAsia" w:ascii="黑体" w:hAnsi="黑体" w:eastAsia="黑体" w:cs="黑体"/>
          <w:b w:val="0"/>
          <w:bCs/>
          <w:color w:val="auto"/>
          <w:sz w:val="32"/>
          <w:highlight w:val="none"/>
        </w:rPr>
        <w:t>二、事故应急处置及评估情况</w:t>
      </w:r>
      <w:bookmarkEnd w:id="13"/>
      <w:bookmarkEnd w:id="14"/>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15" w:name="heading_10"/>
      <w:bookmarkStart w:id="16" w:name="_Toc2321"/>
      <w:r>
        <w:rPr>
          <w:rFonts w:hint="eastAsia" w:ascii="Times New Roman" w:hAnsi="Times New Roman" w:eastAsia="楷体_GB2312" w:cs="Times New Roman"/>
          <w:color w:val="000000"/>
          <w:kern w:val="0"/>
          <w:sz w:val="32"/>
          <w:szCs w:val="32"/>
          <w:lang w:val="en-US" w:eastAsia="zh-CN"/>
        </w:rPr>
        <w:t>（一）事故信息接报及响应情况</w:t>
      </w:r>
      <w:bookmarkEnd w:id="15"/>
      <w:bookmarkEnd w:id="16"/>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2025年12月18日16时15分许，现场人员将被撞人员从海中救援上来之后，立即拨打120急救电话和110报警电话，同时电话告知杜某某</w:t>
      </w:r>
      <w:r>
        <w:rPr>
          <w:rFonts w:hint="eastAsia" w:ascii="仿宋_GB2312" w:hAnsi="仿宋_GB2312" w:eastAsia="仿宋_GB2312" w:cs="仿宋_GB2312"/>
          <w:b w:val="0"/>
          <w:bCs w:val="0"/>
          <w:color w:val="auto"/>
          <w:kern w:val="2"/>
          <w:sz w:val="32"/>
          <w:szCs w:val="32"/>
          <w:lang w:val="en-US" w:eastAsia="zh-CN" w:bidi="ar-SA"/>
        </w:rPr>
        <w:t>及牟某某</w:t>
      </w:r>
      <w:r>
        <w:rPr>
          <w:rFonts w:hint="eastAsia" w:ascii="仿宋_GB2312" w:hAnsi="仿宋_GB2312" w:eastAsia="仿宋_GB2312" w:cs="仿宋_GB2312"/>
          <w:b w:val="0"/>
          <w:bCs w:val="0"/>
          <w:color w:val="auto"/>
          <w:kern w:val="2"/>
          <w:sz w:val="32"/>
          <w:szCs w:val="32"/>
          <w:lang w:val="en-US" w:eastAsia="zh-CN" w:bidi="ar-SA"/>
        </w:rPr>
        <w:t>。三亚市110指挥中心接警后，立即将事故信息通报三亚市应急管理局、海事局、公安海岸警察支队等相关单位。</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三亚市应急管理局接报后，立即启动一般生产安全事故应急响应，同步向市委、市政府报告事故情况，按照应急响应流程，协调海事、医疗、公安等部门赶赴现场开展处置工作。各相关单位接报后，迅速响应，安排人员、设备赶赴事故现场，无迟报、谎报、瞒报事故的情况。</w:t>
      </w:r>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17" w:name="_Toc22866"/>
      <w:bookmarkStart w:id="18" w:name="heading_11"/>
      <w:r>
        <w:rPr>
          <w:rFonts w:hint="eastAsia" w:ascii="Times New Roman" w:hAnsi="Times New Roman" w:eastAsia="楷体_GB2312" w:cs="Times New Roman"/>
          <w:color w:val="000000"/>
          <w:kern w:val="0"/>
          <w:sz w:val="32"/>
          <w:szCs w:val="32"/>
          <w:lang w:val="en-US" w:eastAsia="zh-CN"/>
        </w:rPr>
        <w:t>（二）事故现场应急处置情况</w:t>
      </w:r>
      <w:bookmarkEnd w:id="17"/>
      <w:bookmarkEnd w:id="18"/>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1.现场人员自救互救情况</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事故发生后，被撞驾驶人员直接坠海，无自救能力。现场其他摩托艇驾驶员、教练、游客及游艇工作人员等立即停止作业及游玩，打捞被撞人员，将被撞驾驶人员转移至游艇上，对被撞驾驶人员进行紧急止血、包扎等简单施救，避免失血进一步加剧，同时快速返港，等待120急救人员到场。整个救助措施基本合理，但因现场人员既无专业急救能力，也无专业急救器材，未能有效控制出血症状。</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2.政府及相关部门应急处置情况</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2025年12月18日17时20分许，120急救车辆及医护人员赶赴现场，对被撞人员进行急救。</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2025年12月18日17时30分，三亚市应急管理局、天涯区应急管理局、海事局、公安海岸警察支队等部门接报后，迅速组织人员赶赴现场。海事部门开展水域交通管制，划定警戒区域，禁止其他船舶进入事故现场，防止次生碰撞事故发生；公安部门开展现场秩序维护、人员询问、证据固定工作；应急处置过程中，各部门协同配合，重点开展伤员救治、现场管控、证据固定等工作，应急处置流程符合应急处置要求。</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3.救援队伍及救援过程</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本次事故救援主要由现场人员、医护人员、海事执法人员、公安民警组成。120 急救人员于17时20分许到达事故现场，17时50分许宣布受伤摩托艇驾驶人员抢救无效死亡，救援工作终止。</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4.救援终止说明</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因受伤驾驶员经全力抢救无效死亡，现场无其他被困人员、无次生灾害隐患，现场具备救援终止条件，经各处置部门会商，决定终止救援工作。</w:t>
      </w:r>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19" w:name="_Toc11725"/>
      <w:bookmarkStart w:id="20" w:name="heading_12"/>
      <w:r>
        <w:rPr>
          <w:rFonts w:hint="eastAsia" w:ascii="Times New Roman" w:hAnsi="Times New Roman" w:eastAsia="楷体_GB2312" w:cs="Times New Roman"/>
          <w:color w:val="000000"/>
          <w:kern w:val="0"/>
          <w:sz w:val="32"/>
          <w:szCs w:val="32"/>
          <w:lang w:val="en-US" w:eastAsia="zh-CN"/>
        </w:rPr>
        <w:t>（三）医疗救治和善后情况</w:t>
      </w:r>
      <w:bookmarkEnd w:id="19"/>
      <w:bookmarkEnd w:id="20"/>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1.医疗救治情况</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120急救医护人员赶到现场后，立即对受伤驾驶人员开展抢救工作，采取急救措施，但因受伤驾驶人员颅脑损伤严重，外加下巴两处出血性开放损伤，经持续抢救无效，于17时50分许宣布死亡，医疗救治过程规范、及时，无医疗处置不当情况。</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2.善后处置及家属安抚情况</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事故发生后，天涯区委区政府高度重视，成立事故善后处置工作组，由三亚市旅游和文化广电体育局牵头，联合三亚市应急管理局、三亚市综合行政执法局、天涯区应急管理局、天涯区旅游和文化广电体育局、三亚市综合行政执法局天涯分局及属地南边海社区开展事故善后处置工作。工作组第一时间与死亡人员家属取得联系，告知事故情况及处置进展，耐心做好家属的安抚疏导工作，协调解决家属提出的合理诉求。经调解，死亡人员遗体处</w:t>
      </w:r>
      <w:r>
        <w:rPr>
          <w:rFonts w:hint="eastAsia" w:ascii="仿宋_GB2312" w:hAnsi="仿宋_GB2312" w:eastAsia="仿宋_GB2312" w:cs="仿宋_GB2312"/>
          <w:b w:val="0"/>
          <w:bCs w:val="0"/>
          <w:color w:val="auto"/>
          <w:kern w:val="2"/>
          <w:sz w:val="32"/>
          <w:szCs w:val="32"/>
          <w:lang w:val="en-US" w:eastAsia="zh-CN" w:bidi="ar-SA"/>
        </w:rPr>
        <w:t>置、任某某与死者家属的补偿调解及协议签订工作已完成，任某某的40万补偿款项也已完成支付。牟某某等其他相关单位及人员虽积极参与善后调解并配合事故调查，但因赔偿款项数额问题未与家属达成赔偿及和解协议。杜某某与于某某在事故善后及调查处理期间屡次拒绝配合事故调查，拒不承担赔偿责任。家属已经就相关赔偿问题</w:t>
      </w:r>
      <w:r>
        <w:rPr>
          <w:rFonts w:hint="eastAsia" w:ascii="仿宋_GB2312" w:hAnsi="仿宋_GB2312" w:eastAsia="仿宋_GB2312" w:cs="仿宋_GB2312"/>
          <w:b w:val="0"/>
          <w:bCs w:val="0"/>
          <w:kern w:val="2"/>
          <w:sz w:val="32"/>
          <w:szCs w:val="32"/>
          <w:lang w:val="en-US" w:eastAsia="zh-CN" w:bidi="ar-SA"/>
        </w:rPr>
        <w:t>提起司法诉讼。</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3.社会稳定情况</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调查组同步做好社会面管控和舆情引导工作，及时发布事故处置信息，回应社会关注点，有效防范舆情风险，辖区社会秩序稳定，未发生因事故引发的群体性事件、信访事件等。</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4.环境监测及处置情况</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本次事故为摩托艇碰撞后致人死亡事故，未涉及危险化学品、油污泄漏等情况，对海域环境无影响，无需开展专项环境监测及处置工作。</w:t>
      </w:r>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21" w:name="heading_13"/>
      <w:bookmarkStart w:id="22" w:name="_Toc10644"/>
      <w:r>
        <w:rPr>
          <w:rFonts w:hint="eastAsia" w:ascii="Times New Roman" w:hAnsi="Times New Roman" w:eastAsia="楷体_GB2312" w:cs="Times New Roman"/>
          <w:color w:val="000000"/>
          <w:kern w:val="0"/>
          <w:sz w:val="32"/>
          <w:szCs w:val="32"/>
          <w:lang w:val="en-US" w:eastAsia="zh-CN"/>
        </w:rPr>
        <w:t>（四）事故应急处置评估</w:t>
      </w:r>
      <w:bookmarkEnd w:id="21"/>
      <w:r>
        <w:rPr>
          <w:rFonts w:hint="eastAsia" w:ascii="Times New Roman" w:hAnsi="Times New Roman" w:eastAsia="楷体_GB2312" w:cs="Times New Roman"/>
          <w:color w:val="000000"/>
          <w:kern w:val="0"/>
          <w:sz w:val="32"/>
          <w:szCs w:val="32"/>
          <w:lang w:val="en-US" w:eastAsia="zh-CN"/>
        </w:rPr>
        <w:t>结论</w:t>
      </w:r>
      <w:bookmarkEnd w:id="22"/>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本次事故应急响应及时、处置流程规范、部门协同配合，基本实现了“快速响应、全力救援、妥善善后”的处置目标，有效避免了次生事故发生和舆情发酵，应急处置工作总体合格。</w:t>
      </w:r>
    </w:p>
    <w:p>
      <w:pPr>
        <w:spacing w:line="560" w:lineRule="exact"/>
        <w:ind w:firstLine="640" w:firstLineChars="200"/>
        <w:outlineLvl w:val="0"/>
        <w:rPr>
          <w:rFonts w:hint="eastAsia" w:ascii="黑体" w:hAnsi="黑体" w:eastAsia="黑体" w:cs="黑体"/>
          <w:b w:val="0"/>
          <w:bCs/>
          <w:color w:val="auto"/>
          <w:sz w:val="32"/>
          <w:highlight w:val="none"/>
        </w:rPr>
      </w:pPr>
      <w:bookmarkStart w:id="23" w:name="_Toc12233"/>
      <w:bookmarkStart w:id="24" w:name="heading_14"/>
      <w:r>
        <w:rPr>
          <w:rFonts w:hint="eastAsia" w:ascii="黑体" w:hAnsi="黑体" w:eastAsia="黑体" w:cs="黑体"/>
          <w:b w:val="0"/>
          <w:bCs/>
          <w:color w:val="auto"/>
          <w:sz w:val="32"/>
          <w:highlight w:val="none"/>
        </w:rPr>
        <w:t>三、事故原因分析</w:t>
      </w:r>
      <w:bookmarkEnd w:id="23"/>
      <w:bookmarkEnd w:id="24"/>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25" w:name="heading_15"/>
      <w:bookmarkStart w:id="26" w:name="_Toc16637"/>
      <w:r>
        <w:rPr>
          <w:rFonts w:hint="eastAsia" w:ascii="Times New Roman" w:hAnsi="Times New Roman" w:eastAsia="楷体_GB2312" w:cs="Times New Roman"/>
          <w:color w:val="000000"/>
          <w:kern w:val="0"/>
          <w:sz w:val="32"/>
          <w:szCs w:val="32"/>
          <w:lang w:val="en-US" w:eastAsia="zh-CN"/>
        </w:rPr>
        <w:t>（一）直接原因分析</w:t>
      </w:r>
      <w:bookmarkEnd w:id="25"/>
      <w:bookmarkEnd w:id="26"/>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事故直接原因是：游客张某某</w:t>
      </w:r>
      <w:r>
        <w:rPr>
          <w:rFonts w:hint="eastAsia" w:ascii="仿宋_GB2312" w:hAnsi="仿宋_GB2312" w:eastAsia="仿宋_GB2312" w:cs="仿宋_GB2312"/>
          <w:b w:val="0"/>
          <w:bCs w:val="0"/>
          <w:color w:val="auto"/>
          <w:kern w:val="2"/>
          <w:sz w:val="32"/>
          <w:szCs w:val="32"/>
          <w:lang w:val="en-US" w:eastAsia="zh-CN" w:bidi="ar-SA"/>
        </w:rPr>
        <w:t>海上驾驶摩托艇的过程中高速行驶、瞭望疏忽、操作不当、未与同样高速行驶的任某某</w:t>
      </w:r>
      <w:r>
        <w:rPr>
          <w:rFonts w:hint="eastAsia" w:ascii="仿宋_GB2312" w:hAnsi="仿宋_GB2312" w:eastAsia="仿宋_GB2312" w:cs="仿宋_GB2312"/>
          <w:b w:val="0"/>
          <w:bCs w:val="0"/>
          <w:color w:val="auto"/>
          <w:kern w:val="2"/>
          <w:sz w:val="32"/>
          <w:szCs w:val="32"/>
          <w:lang w:val="en-US" w:eastAsia="zh-CN" w:bidi="ar-SA"/>
        </w:rPr>
        <w:t>驾驶的摩托艇保持安全航行间距、在突然转向后致使任某某</w:t>
      </w:r>
      <w:r>
        <w:rPr>
          <w:rFonts w:hint="eastAsia" w:ascii="仿宋_GB2312" w:hAnsi="仿宋_GB2312" w:eastAsia="仿宋_GB2312" w:cs="仿宋_GB2312"/>
          <w:b w:val="0"/>
          <w:bCs w:val="0"/>
          <w:color w:val="auto"/>
          <w:kern w:val="2"/>
          <w:sz w:val="32"/>
          <w:szCs w:val="32"/>
          <w:lang w:val="en-US" w:eastAsia="zh-CN" w:bidi="ar-SA"/>
        </w:rPr>
        <w:t>避让不及时，造成两艘摩托艇相撞，张某某</w:t>
      </w:r>
      <w:r>
        <w:rPr>
          <w:rFonts w:hint="eastAsia" w:ascii="仿宋_GB2312" w:hAnsi="仿宋_GB2312" w:eastAsia="仿宋_GB2312" w:cs="仿宋_GB2312"/>
          <w:b w:val="0"/>
          <w:bCs w:val="0"/>
          <w:color w:val="auto"/>
          <w:kern w:val="2"/>
          <w:sz w:val="32"/>
          <w:szCs w:val="32"/>
          <w:lang w:val="en-US" w:eastAsia="zh-CN" w:bidi="ar-SA"/>
        </w:rPr>
        <w:t>在碰撞过程中因颅脑损伤致死，引发本次生产安全责任事故。</w:t>
      </w:r>
      <w:r>
        <w:rPr>
          <w:rFonts w:hint="eastAsia" w:ascii="仿宋_GB2312" w:hAnsi="仿宋_GB2312" w:eastAsia="仿宋_GB2312" w:cs="仿宋_GB2312"/>
          <w:b w:val="0"/>
          <w:bCs w:val="0"/>
          <w:kern w:val="2"/>
          <w:sz w:val="32"/>
          <w:szCs w:val="32"/>
          <w:lang w:val="en-US" w:eastAsia="zh-CN" w:bidi="ar-SA"/>
        </w:rPr>
        <w:t>具体分析如下：</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 xml:space="preserve">1.驾驶员不安全行为 </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涉事两名摩托艇驾乘人员均为游客，均未取得摩托艇驾驶相应资质，不具备海上驾驶、航行避让及应急处置能力，不满足海上安全驾驶条件。航行过程中，死者驾驶摩托艇突然加速并转向，造成另一艘摩托艇驾驶人避让不及，引发两艇碰撞；航行期间双方均未能合理控制航速、保持安全艇距，上述不安全驾驶行为是导致本次事故发生的直接原因。</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2.设备不安全状态</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涉事两艘摩托艇中，由</w:t>
      </w:r>
      <w:r>
        <w:rPr>
          <w:rFonts w:hint="eastAsia" w:ascii="仿宋_GB2312" w:hAnsi="仿宋_GB2312" w:eastAsia="仿宋_GB2312" w:cs="仿宋_GB2312"/>
          <w:b w:val="0"/>
          <w:bCs w:val="0"/>
          <w:color w:val="auto"/>
          <w:kern w:val="2"/>
          <w:sz w:val="32"/>
          <w:szCs w:val="32"/>
          <w:lang w:val="en-US" w:eastAsia="zh-CN" w:bidi="ar-SA"/>
        </w:rPr>
        <w:t>于某某提供给任某某的摩托艇未按规定办理船舶登记备案手续，无有效检验合格证</w:t>
      </w:r>
      <w:r>
        <w:rPr>
          <w:rFonts w:hint="eastAsia" w:ascii="仿宋_GB2312" w:hAnsi="仿宋_GB2312" w:eastAsia="仿宋_GB2312" w:cs="仿宋_GB2312"/>
          <w:b w:val="0"/>
          <w:bCs w:val="0"/>
          <w:kern w:val="2"/>
          <w:sz w:val="32"/>
          <w:szCs w:val="32"/>
          <w:lang w:val="en-US" w:eastAsia="zh-CN" w:bidi="ar-SA"/>
        </w:rPr>
        <w:t>书。事故发生时，涉事相撞两艘摩托艇均高速航行，艇间未保持安全航行间距，船舶设备资格条件、航行操控状态均存在安全隐患，与事故发生存在直接关联，是造成本次事故的重要客观因素。</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3.致害过程分析</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bookmarkStart w:id="27" w:name="heading_16"/>
      <w:r>
        <w:rPr>
          <w:rFonts w:hint="eastAsia" w:ascii="仿宋_GB2312" w:hAnsi="仿宋_GB2312" w:eastAsia="仿宋_GB2312" w:cs="仿宋_GB2312"/>
          <w:b w:val="0"/>
          <w:bCs w:val="0"/>
          <w:kern w:val="2"/>
          <w:sz w:val="32"/>
          <w:szCs w:val="32"/>
          <w:lang w:val="en-US" w:eastAsia="zh-CN" w:bidi="ar-SA"/>
        </w:rPr>
        <w:t>两艘摩托艇在高速近距离航行过程中</w:t>
      </w:r>
      <w:r>
        <w:rPr>
          <w:rFonts w:hint="eastAsia" w:ascii="仿宋_GB2312" w:hAnsi="仿宋_GB2312" w:eastAsia="仿宋_GB2312" w:cs="仿宋_GB2312"/>
          <w:b w:val="0"/>
          <w:bCs w:val="0"/>
          <w:color w:val="auto"/>
          <w:kern w:val="2"/>
          <w:sz w:val="32"/>
          <w:szCs w:val="32"/>
          <w:lang w:val="en-US" w:eastAsia="zh-CN" w:bidi="ar-SA"/>
        </w:rPr>
        <w:t>，张某某驾驶摩托艇突然转向，任某某驾驶的摩托艇避让不及，艇体首部及护杠直接撞击张某某头部，致使张某某颅脑、</w:t>
      </w:r>
      <w:r>
        <w:rPr>
          <w:rFonts w:hint="eastAsia" w:ascii="仿宋_GB2312" w:hAnsi="仿宋_GB2312" w:eastAsia="仿宋_GB2312" w:cs="仿宋_GB2312"/>
          <w:b w:val="0"/>
          <w:bCs w:val="0"/>
          <w:kern w:val="2"/>
          <w:sz w:val="32"/>
          <w:szCs w:val="32"/>
          <w:lang w:val="en-US" w:eastAsia="zh-CN" w:bidi="ar-SA"/>
        </w:rPr>
        <w:t>下颌处受伤，伤者口、鼻、耳部及下颌多处出血，最终因颅脑损伤死亡。</w:t>
      </w:r>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28" w:name="_Toc12437"/>
      <w:r>
        <w:rPr>
          <w:rFonts w:hint="eastAsia" w:ascii="Times New Roman" w:hAnsi="Times New Roman" w:eastAsia="楷体_GB2312" w:cs="Times New Roman"/>
          <w:color w:val="000000"/>
          <w:kern w:val="0"/>
          <w:sz w:val="32"/>
          <w:szCs w:val="32"/>
          <w:lang w:val="en-US" w:eastAsia="zh-CN"/>
        </w:rPr>
        <w:t>（二）事故相关检验检测和鉴定情况</w:t>
      </w:r>
      <w:bookmarkEnd w:id="27"/>
      <w:bookmarkEnd w:id="28"/>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三亚市公安局天涯分局刑侦大队、三亚海警局天涯工作站分别对事故摩托艇、死亡原因进行现场勘验和死亡确认，相关结论如下：</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1.船舶检验鉴定结论</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依据三亚市公安局天涯分局刑侦大队出具的《现场勘验笔录》（琼三公天涯(事)勘[2025]121901号），两艘事故摩托艇均为 SEADOO 品牌，艇身长度均为 3.45 米，船底统一为黑色。事发</w:t>
      </w:r>
      <w:r>
        <w:rPr>
          <w:rFonts w:hint="eastAsia" w:ascii="仿宋_GB2312" w:hAnsi="仿宋_GB2312" w:eastAsia="仿宋_GB2312" w:cs="仿宋_GB2312"/>
          <w:b w:val="0"/>
          <w:bCs w:val="0"/>
          <w:color w:val="auto"/>
          <w:kern w:val="2"/>
          <w:sz w:val="32"/>
          <w:szCs w:val="32"/>
          <w:lang w:val="en-US" w:eastAsia="zh-CN" w:bidi="ar-SA"/>
        </w:rPr>
        <w:t>时任某某所骑摩托艇为</w:t>
      </w:r>
      <w:r>
        <w:rPr>
          <w:rFonts w:hint="eastAsia" w:ascii="仿宋_GB2312" w:hAnsi="仿宋_GB2312" w:eastAsia="仿宋_GB2312" w:cs="仿宋_GB2312"/>
          <w:b w:val="0"/>
          <w:bCs w:val="0"/>
          <w:color w:val="auto"/>
          <w:kern w:val="2"/>
          <w:sz w:val="32"/>
          <w:szCs w:val="32"/>
          <w:u w:val="none"/>
          <w:lang w:val="en-US" w:eastAsia="zh-CN" w:bidi="ar-SA"/>
        </w:rPr>
        <w:t>紫色船体</w:t>
      </w:r>
      <w:r>
        <w:rPr>
          <w:rFonts w:hint="eastAsia" w:ascii="仿宋_GB2312" w:hAnsi="仿宋_GB2312" w:eastAsia="仿宋_GB2312" w:cs="仿宋_GB2312"/>
          <w:b w:val="0"/>
          <w:bCs w:val="0"/>
          <w:color w:val="auto"/>
          <w:kern w:val="2"/>
          <w:sz w:val="32"/>
          <w:szCs w:val="32"/>
          <w:lang w:val="en-US" w:eastAsia="zh-CN" w:bidi="ar-SA"/>
        </w:rPr>
        <w:t>，摩托艇整体结构完好，仅船底存有轻微擦蹭痕迹；张某某所</w:t>
      </w:r>
      <w:r>
        <w:rPr>
          <w:rFonts w:hint="eastAsia" w:ascii="仿宋_GB2312" w:hAnsi="仿宋_GB2312" w:eastAsia="仿宋_GB2312" w:cs="仿宋_GB2312"/>
          <w:b w:val="0"/>
          <w:bCs w:val="0"/>
          <w:kern w:val="2"/>
          <w:sz w:val="32"/>
          <w:szCs w:val="32"/>
          <w:lang w:val="en-US" w:eastAsia="zh-CN" w:bidi="ar-SA"/>
        </w:rPr>
        <w:t>骑摩托艇为白色船体，摩托艇受损明显，方向把手断裂，左侧后视镜破损，多处外壳出现擦刮、开裂情况，其中船体左尾裂痕长度达 35 厘米。</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2.非正常死亡证明</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依据三亚海警局天涯工作站出具的《非正常死亡证明》（公安机关调查和检验鉴定文书编号：[2025]342号），死亡人员死亡原因系颅脑损伤。</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3.事故类型确认</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baseline"/>
        <w:outlineLvl w:val="1"/>
        <w:rPr>
          <w:rFonts w:hint="eastAsia" w:ascii="仿宋_GB2312" w:hAnsi="仿宋_GB2312" w:eastAsia="仿宋_GB2312" w:cs="仿宋_GB2312"/>
          <w:b w:val="0"/>
          <w:bCs w:val="0"/>
          <w:color w:val="auto"/>
          <w:kern w:val="2"/>
          <w:sz w:val="32"/>
          <w:szCs w:val="32"/>
          <w:lang w:val="en-US" w:eastAsia="zh-CN" w:bidi="ar-SA"/>
        </w:rPr>
      </w:pPr>
      <w:bookmarkStart w:id="29" w:name="_Toc3107"/>
      <w:bookmarkStart w:id="30" w:name="heading_17"/>
      <w:r>
        <w:rPr>
          <w:rFonts w:hint="eastAsia" w:ascii="仿宋_GB2312" w:hAnsi="仿宋_GB2312" w:eastAsia="仿宋_GB2312" w:cs="仿宋_GB2312"/>
          <w:b w:val="0"/>
          <w:bCs w:val="0"/>
          <w:color w:val="auto"/>
          <w:kern w:val="2"/>
          <w:sz w:val="32"/>
          <w:szCs w:val="32"/>
          <w:lang w:val="en-US" w:eastAsia="zh-CN" w:bidi="ar-SA"/>
        </w:rPr>
        <w:t>依据《生产安全事故分类与编码》（GB/T 6441-1986）开展事故类型判定，本起事故定性为其他伤害类生产安全事故。</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r>
        <w:rPr>
          <w:rFonts w:hint="eastAsia" w:ascii="Times New Roman" w:hAnsi="Times New Roman" w:eastAsia="楷体_GB2312" w:cs="Times New Roman"/>
          <w:color w:val="000000"/>
          <w:kern w:val="0"/>
          <w:sz w:val="32"/>
          <w:szCs w:val="32"/>
          <w:lang w:val="en-US" w:eastAsia="zh-CN"/>
        </w:rPr>
        <w:t>（三）其他可能因素排除</w:t>
      </w:r>
      <w:bookmarkEnd w:id="29"/>
      <w:bookmarkEnd w:id="30"/>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调查组通过现场勘查、目击证人询问、视频资料分析、气象环境核查等方式，对可能导致事故发生的其他因素逐一排查，均予以排除，具体如下：</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1.排除摩托艇故障因素</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经调查确认，事发时两艘涉事摩托艇均处于适航状态，可正常驾驶。事故发生后，三亚市公安局天涯分局刑侦大队对涉事摩托艇进行现场勘验并出具《现场勘验笔录》（琼三公天涯（事）勘[2025]121901号）：两艘摩托艇除被撞摩托艇把手和后视镜被撞坏、艇体外壳有剐蹭伤，其他部位均未发现异常。综上，排除摩托艇自身故障导致事故发生的可能。</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2.排除人为故意破坏因素</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经事故调查核实，事故发生时两名涉事摩托艇驾乘人员在驾乘过程中不存在故意碰撞、故意伤害情形；现场未发现第三方干扰、人为破坏等相关痕迹。综上，排除人为故意破坏引发事故的可能性。</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3.排除突发灾害因素</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事发当日气象条件良好，无暴雨、雷电、强风、巨浪等突发灾害天气，排除突发灾害因素导致事故发生的可能。</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4.排除涉事海域环境因素</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经事故调查核实，事故发生海域不存在暗礁、浅滩等突发水下危险隐患，海况、能见度等环境条件未对本次事故形成不利影响。</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5.排除其他外部因素</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经事故调查核实，事故发生时，现场无其他船舶干扰、无渔网、绳索等障碍物影响，排除其他外部因素导致事故发生的可能。</w:t>
      </w:r>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31" w:name="_Toc32430"/>
      <w:bookmarkStart w:id="32" w:name="heading_18"/>
      <w:r>
        <w:rPr>
          <w:rFonts w:hint="eastAsia" w:ascii="Times New Roman" w:hAnsi="Times New Roman" w:eastAsia="楷体_GB2312" w:cs="Times New Roman"/>
          <w:color w:val="000000"/>
          <w:kern w:val="0"/>
          <w:sz w:val="32"/>
          <w:szCs w:val="32"/>
          <w:lang w:val="en-US" w:eastAsia="zh-CN"/>
        </w:rPr>
        <w:t>（四）间接原因分析</w:t>
      </w:r>
      <w:bookmarkEnd w:id="31"/>
      <w:bookmarkEnd w:id="32"/>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1.摩托艇驾乘人员安全意识不足，危险驾驶行为是事故重要诱因</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张某某、任某某作</w:t>
      </w:r>
      <w:r>
        <w:rPr>
          <w:rFonts w:hint="eastAsia" w:ascii="仿宋_GB2312" w:hAnsi="仿宋_GB2312" w:eastAsia="仿宋_GB2312" w:cs="仿宋_GB2312"/>
          <w:b w:val="0"/>
          <w:bCs w:val="0"/>
          <w:kern w:val="2"/>
          <w:sz w:val="32"/>
          <w:szCs w:val="32"/>
          <w:lang w:val="en-US" w:eastAsia="zh-CN" w:bidi="ar-SA"/>
        </w:rPr>
        <w:t>为摩托艇驾乘人员，水上驾驶实操能力不足，风险辨识与应急处置能力薄弱。二人忽视海上航行安全规则，驾驶摩托艇过程中高速行驶、艇间安全距离不足，未主动规避航行碰撞风险，危险驾驶行为直接催生碰撞条件。</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2.项目承接、中介、艇只提供各方安全管理责任落实不到位</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杜某某作为海上摩托艇休闲项目实际承接人，不具备水上游乐经营资质，违规组织经营性出海活动；未落实全流程安全管控，未统筹航行秩序、安全、规范多艇协同作业。牟某某</w:t>
      </w:r>
      <w:r>
        <w:rPr>
          <w:rFonts w:hint="eastAsia" w:ascii="仿宋_GB2312" w:hAnsi="仿宋_GB2312" w:eastAsia="仿宋_GB2312" w:cs="仿宋_GB2312"/>
          <w:b w:val="0"/>
          <w:bCs w:val="0"/>
          <w:kern w:val="2"/>
          <w:sz w:val="32"/>
          <w:szCs w:val="32"/>
          <w:lang w:val="en-US" w:eastAsia="zh-CN" w:bidi="ar-SA"/>
        </w:rPr>
        <w:t>作为海上摩托艇体验项目中介人员，无水上旅游中介经营资质，在组织调配摩托艇过程中，未严格核查摩托艇备案、驾驶员驾驶资质，未尽筛选、风险甄别义务。多方主体仅开展简单口头提醒，未系统组织驾驶技能及安全规范培训，未充分告知并强调多艇并行、高速航行、突然转向等危险驾驶行为存在的重大安全风险，对海上危险驾驶行为未能形成有效约束。</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3.多艇出海协同运营机制缺失，海上航行现场管控严重缺位</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杜某某、牟某某等人</w:t>
      </w:r>
      <w:r>
        <w:rPr>
          <w:rFonts w:hint="eastAsia" w:ascii="仿宋_GB2312" w:hAnsi="仿宋_GB2312" w:eastAsia="仿宋_GB2312" w:cs="仿宋_GB2312"/>
          <w:b w:val="0"/>
          <w:bCs w:val="0"/>
          <w:kern w:val="2"/>
          <w:sz w:val="32"/>
          <w:szCs w:val="32"/>
          <w:lang w:val="en-US" w:eastAsia="zh-CN" w:bidi="ar-SA"/>
        </w:rPr>
        <w:t>在组织本次摩托艇出海驾乘体验活动中，未统一约定航行路线、管控航速与艇间安全间距，未建立多摩托艇协同航行管理制度与作业规范。船队出海后缺少动态风险管控手段，高速竞速、近距离并行等重大违章行为得不到及时制止，多艇混行造成海上安全风险持续放大，最终引发碰撞事故。</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4.码头运营单位水上租赁合同管理及出港核查管控存在短板</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码头经营单位对泊位租赁管理不规范、登离港源头管控存在疏漏，为违规经营性海上活动滋生提供了可乘之机，是本次事故发生的间接原因。涉事摩托艇均固定停泊于国际游艇码头，该公司码头泊位租赁管理制度不完善，对外出租泊位时，未在租赁合同中明确转租限制、安全责任划分等约束条款，未建立泊位实际使用主体动态核查、常态化安全巡检机制，对泊位租赁使用存在的多层违规转租行为失管失察。同时，码头管理单位未严格落实摩托艇登离港核查管理制度，未常态化核查停靠、出海摩托艇的登记备案手续及合规运营资质，放任未完成海上旅游项目登记备案的摩托艇长期在码头停靠、频繁出海开展经营性驾乘体验活动，默许无证运营、违规作业等安全隐患长期存在，从源头为本次违规出海及事故发生埋下重大风险隐患。</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5.海上游乐监管存在交叉，安全管控有待强化</w:t>
      </w:r>
    </w:p>
    <w:p>
      <w:pPr>
        <w:autoSpaceDE w:val="0"/>
        <w:autoSpaceDN w:val="0"/>
        <w:adjustRightInd w:val="0"/>
        <w:snapToGrid w:val="0"/>
        <w:spacing w:line="560" w:lineRule="exact"/>
        <w:ind w:firstLine="640" w:firstLineChars="200"/>
        <w:textAlignment w:val="baseline"/>
        <w:outlineLvl w:val="9"/>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海上摩托艇、游艇休闲活动涉及多部门监管，海上水上游乐经营活动存在监管交叉地带。相关部门对辖区海上摩托艇经营性活动巡查整治力度不足；对自然人无证从事中介撮合、无证经营海上游乐项目、无资质人员驾驶摩托艇等违法违规行为排查治理不彻底。行业准入管控约束力不足，各类违规经营行为长期存在，海上休闲旅游领域安全管理基础薄弱，为事故发生埋下深层次隐患。</w:t>
      </w:r>
    </w:p>
    <w:p>
      <w:pPr>
        <w:spacing w:line="560" w:lineRule="exact"/>
        <w:ind w:firstLine="640" w:firstLineChars="200"/>
        <w:outlineLvl w:val="0"/>
        <w:rPr>
          <w:rFonts w:hint="eastAsia" w:ascii="黑体" w:hAnsi="黑体" w:eastAsia="黑体" w:cs="黑体"/>
          <w:b w:val="0"/>
          <w:bCs/>
          <w:color w:val="auto"/>
          <w:highlight w:val="none"/>
        </w:rPr>
      </w:pPr>
      <w:bookmarkStart w:id="33" w:name="heading_19"/>
      <w:bookmarkStart w:id="34" w:name="_Toc19162"/>
      <w:r>
        <w:rPr>
          <w:rFonts w:hint="eastAsia" w:ascii="黑体" w:hAnsi="黑体" w:eastAsia="黑体" w:cs="黑体"/>
          <w:b w:val="0"/>
          <w:bCs/>
          <w:color w:val="auto"/>
          <w:sz w:val="32"/>
          <w:highlight w:val="none"/>
        </w:rPr>
        <w:t>四、相关责任单位及个人存在的主要问题</w:t>
      </w:r>
      <w:bookmarkEnd w:id="33"/>
      <w:bookmarkEnd w:id="34"/>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35" w:name="heading_20"/>
      <w:bookmarkStart w:id="36" w:name="_Toc8350"/>
      <w:r>
        <w:rPr>
          <w:rFonts w:hint="eastAsia" w:ascii="Times New Roman" w:hAnsi="Times New Roman" w:eastAsia="楷体_GB2312" w:cs="Times New Roman"/>
          <w:color w:val="000000"/>
          <w:kern w:val="0"/>
          <w:sz w:val="32"/>
          <w:szCs w:val="32"/>
          <w:lang w:val="en-US" w:eastAsia="zh-CN"/>
        </w:rPr>
        <w:t>（一）事故相关责任单位</w:t>
      </w:r>
      <w:bookmarkEnd w:id="35"/>
      <w:r>
        <w:rPr>
          <w:rFonts w:hint="eastAsia" w:ascii="Times New Roman" w:hAnsi="Times New Roman" w:eastAsia="楷体_GB2312" w:cs="Times New Roman"/>
          <w:color w:val="000000"/>
          <w:kern w:val="0"/>
          <w:sz w:val="32"/>
          <w:szCs w:val="32"/>
          <w:lang w:val="en-US" w:eastAsia="zh-CN"/>
        </w:rPr>
        <w:t>及个人存在的问题</w:t>
      </w:r>
      <w:bookmarkEnd w:id="36"/>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w:t>
      </w:r>
      <w:r>
        <w:rPr>
          <w:rFonts w:hint="eastAsia" w:ascii="仿宋_GB2312" w:hAnsi="仿宋_GB2312" w:eastAsia="仿宋_GB2312" w:cs="仿宋_GB2312"/>
          <w:b/>
          <w:bCs/>
          <w:color w:val="auto"/>
          <w:kern w:val="2"/>
          <w:sz w:val="32"/>
          <w:szCs w:val="32"/>
          <w:lang w:val="en-US" w:eastAsia="zh-CN" w:bidi="ar-SA"/>
        </w:rPr>
        <w:t>杜某某：三亚旅游项目承接人</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bookmarkStart w:id="37" w:name="heading_21"/>
      <w:r>
        <w:rPr>
          <w:rFonts w:hint="eastAsia" w:ascii="仿宋_GB2312" w:hAnsi="仿宋_GB2312" w:eastAsia="仿宋_GB2312" w:cs="仿宋_GB2312"/>
          <w:b w:val="0"/>
          <w:bCs w:val="0"/>
          <w:color w:val="auto"/>
          <w:kern w:val="2"/>
          <w:sz w:val="32"/>
          <w:szCs w:val="32"/>
          <w:lang w:val="en-US" w:eastAsia="zh-CN" w:bidi="ar-SA"/>
        </w:rPr>
        <w:t>杜某某长期以自然人身份承接旅游业务，系张某某等</w:t>
      </w:r>
      <w:r>
        <w:rPr>
          <w:rFonts w:hint="eastAsia" w:ascii="仿宋_GB2312" w:hAnsi="仿宋_GB2312" w:eastAsia="仿宋_GB2312" w:cs="仿宋_GB2312"/>
          <w:b w:val="0"/>
          <w:bCs w:val="0"/>
          <w:kern w:val="2"/>
          <w:sz w:val="32"/>
          <w:szCs w:val="32"/>
          <w:lang w:val="en-US" w:eastAsia="zh-CN" w:bidi="ar-SA"/>
        </w:rPr>
        <w:t xml:space="preserve"> 5 人本次三亚行程（含海上游艇休闲、摩托艇驾乘体验项目）的实际承接主体。无旅游及海上游乐项目合法经营资质，违规组织经营性海上出海活动。其安全生产主体责任意识淡薄，未建立海上旅游项目安全管理、风险防控相关制度，活动组织前未开展专项安全风险研判；项目实施前未核查摩托艇登记备案、安全设备配置及操作人员驾驶资质，放任资质不符人员驾驶摩托艇；安全警示教育流于形式，仅向游客作出简单口头提醒，未充分告知高速航行、多艇近距离并行等重大安全风险。航行过程中未统筹规划航行路线，缺少多艇协同作业管控流程，无法有效管控海上航行秩序与船舶安全间距，对现场高速竞速、多艇无序混行等危险行为未能及时制止，现场安全管理严重缺位，是造成本次事故的重要原因。</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w:t>
      </w:r>
      <w:r>
        <w:rPr>
          <w:rFonts w:hint="eastAsia" w:ascii="仿宋_GB2312" w:hAnsi="仿宋_GB2312" w:eastAsia="仿宋_GB2312" w:cs="仿宋_GB2312"/>
          <w:b/>
          <w:bCs/>
          <w:color w:val="auto"/>
          <w:kern w:val="2"/>
          <w:sz w:val="32"/>
          <w:szCs w:val="32"/>
          <w:lang w:val="en-US" w:eastAsia="zh-CN" w:bidi="ar-SA"/>
        </w:rPr>
        <w:t>.于某某：涉事摩托艇提供方</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于某某作为涉事摩托艇提供方参与经营性海上摩托艇体验活动，安全责任意识薄弱，未依法落实现场安全管理职责，未参与建立项目作业安全管控规范。出海航行期间，未配合开展项目风险评估、海上航行秩序管控工作；面对多艇高速行驶、近距离混行、安全间距不足等重大危险情形，未主动开展管控干预；未履行现场安全</w:t>
      </w:r>
      <w:r>
        <w:rPr>
          <w:rFonts w:hint="eastAsia" w:ascii="仿宋_GB2312" w:hAnsi="仿宋_GB2312" w:eastAsia="仿宋_GB2312" w:cs="仿宋_GB2312"/>
          <w:b w:val="0"/>
          <w:bCs w:val="0"/>
          <w:kern w:val="2"/>
          <w:sz w:val="32"/>
          <w:szCs w:val="32"/>
          <w:lang w:val="en-US" w:eastAsia="zh-CN" w:bidi="ar-SA"/>
        </w:rPr>
        <w:t>监督、风险提示、违章行为约束职责，未能及时劝阻、纠正驾乘人员危险操作，动态安全隐患排查治理不到位，对事故发生负有直接管理责任。</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w:t>
      </w:r>
      <w:r>
        <w:rPr>
          <w:rFonts w:hint="eastAsia" w:ascii="仿宋_GB2312" w:hAnsi="仿宋_GB2312" w:eastAsia="仿宋_GB2312" w:cs="仿宋_GB2312"/>
          <w:b/>
          <w:bCs/>
          <w:color w:val="auto"/>
          <w:kern w:val="2"/>
          <w:sz w:val="32"/>
          <w:szCs w:val="32"/>
          <w:lang w:val="en-US" w:eastAsia="zh-CN" w:bidi="ar-SA"/>
        </w:rPr>
        <w:t>牟某某：摩</w:t>
      </w:r>
      <w:r>
        <w:rPr>
          <w:rFonts w:hint="eastAsia" w:ascii="仿宋_GB2312" w:hAnsi="仿宋_GB2312" w:eastAsia="仿宋_GB2312" w:cs="仿宋_GB2312"/>
          <w:b/>
          <w:bCs/>
          <w:kern w:val="2"/>
          <w:sz w:val="32"/>
          <w:szCs w:val="32"/>
          <w:lang w:val="en-US" w:eastAsia="zh-CN" w:bidi="ar-SA"/>
        </w:rPr>
        <w:t>托艇项目中介</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牟某某从事海上摩托艇驾乘体验项目中介业务，未取得水上旅游中介相应经营资质。受委托联络摩托艇过程中，联系刘某某等4人</w:t>
      </w:r>
      <w:r>
        <w:rPr>
          <w:rFonts w:hint="eastAsia" w:ascii="仿宋_GB2312" w:hAnsi="仿宋_GB2312" w:eastAsia="仿宋_GB2312" w:cs="仿宋_GB2312"/>
          <w:b w:val="0"/>
          <w:bCs w:val="0"/>
          <w:kern w:val="2"/>
          <w:sz w:val="32"/>
          <w:szCs w:val="32"/>
          <w:lang w:val="en-US" w:eastAsia="zh-CN" w:bidi="ar-SA"/>
        </w:rPr>
        <w:t>提供6艘摩托艇出海开展摩托艇驾乘体验活动，但未审慎核查所有涉事摩托艇登记备案、船舶适航文书、驾驶员操作资质等资料，未尽中介主体审慎核查、风险甄别法定义务，推动不合规摩托艇船队投入海上经营性活动，对事故发生存在过错，承担相应次要责任。</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4.海南国际游艇交易有限公司</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海南国际游艇交易有限公司作为案涉码头实际运营管理主体，负责码头日常泊位管控、船舶出海核查、场内经营业态监管等安全管理工作。对码头泊位对外租赁、多层转租行为未建立闭环监管机制，对泊位承租主体海南小西长风体育文化发展有限公司的转租资质、二次经营业态未开展持续核查跟踪；对后续再次口头转租给海南造浪小鲨鱼俱乐部有限公司、个人私自占用泊位停靠摩托艇、违规集结出海经营的行为失察失管。未严格落实码头船舶出海查验制度，未对本次出海摩托艇的船舶备案手续、驾驶人员从业资质开展核验，放任无备案摩托艇及无资质海上经营活动从其码头驶出，源头安全管控缺失，是造成本次事故发生的间接责任单位。</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5.海南小西长风体育文化发展有限公司</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海南小西长风体育文化发展有限公司系案涉码头泊位一级承租主体，取得码头泊位使用权后，未严格落实承租主体安全管理义务，违规将码头泊位转租给海南造浪小鲨鱼俱乐部有限公司。转租前未严格审核次承租方海上摩托艇经营资质、安全运营条件；转租后未建立常态化巡查、核查机制，对泊位再次口头转租、私自停靠多艘摩托艇、违规组织海上体验项目经营的行为疏于监管，对泊位层层转租、违规用于无证海上经营性活动的乱象未及时制止，安全主体责任落实不到位，系本次事故间接责任单位。</w:t>
      </w:r>
    </w:p>
    <w:p>
      <w:pPr>
        <w:autoSpaceDE w:val="0"/>
        <w:autoSpaceDN w:val="0"/>
        <w:adjustRightInd w:val="0"/>
        <w:snapToGrid w:val="0"/>
        <w:spacing w:line="560" w:lineRule="exact"/>
        <w:ind w:firstLine="643" w:firstLineChars="200"/>
        <w:textAlignment w:val="baseline"/>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6.海南造浪小鲨鱼俱乐部有限公司</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海南造浪小鲨鱼俱乐部有限公司作为泊位实际使用及二次转租主体，在未签订规范书面租赁协议、未划分安全管理责任的情况下，以口头约定方式将码头泊位提供</w:t>
      </w:r>
      <w:r>
        <w:rPr>
          <w:rFonts w:hint="eastAsia" w:ascii="仿宋_GB2312" w:hAnsi="仿宋_GB2312" w:eastAsia="仿宋_GB2312" w:cs="仿宋_GB2312"/>
          <w:b w:val="0"/>
          <w:bCs w:val="0"/>
          <w:color w:val="auto"/>
          <w:kern w:val="2"/>
          <w:sz w:val="32"/>
          <w:szCs w:val="32"/>
          <w:lang w:val="en-US" w:eastAsia="zh-CN" w:bidi="ar-SA"/>
        </w:rPr>
        <w:t>给丁某某、于某某</w:t>
      </w:r>
      <w:r>
        <w:rPr>
          <w:rFonts w:hint="eastAsia" w:ascii="仿宋_GB2312" w:hAnsi="仿宋_GB2312" w:eastAsia="仿宋_GB2312" w:cs="仿宋_GB2312"/>
          <w:b w:val="0"/>
          <w:bCs w:val="0"/>
          <w:kern w:val="2"/>
          <w:sz w:val="32"/>
          <w:szCs w:val="32"/>
          <w:lang w:val="en-US" w:eastAsia="zh-CN" w:bidi="ar-SA"/>
        </w:rPr>
        <w:t>等人用于摩托艇停靠及出海经营。未核查入驻摩托艇所有人的船舶备案手续、海上经营资质及操作人员从业资格；泊位投入使用后，未开展日常安全巡查管控，放任多艘摩托艇违规在码头集结、私自组织海上游客体验项目，未落实海上驾乘活动安全管理制度，为本次违规海上驾乘活动发生创造条件，安全管理存在明显过错，是本次事故的间接责任单位。</w:t>
      </w:r>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38" w:name="_Toc16236"/>
      <w:r>
        <w:rPr>
          <w:rFonts w:hint="eastAsia" w:ascii="Times New Roman" w:hAnsi="Times New Roman" w:eastAsia="楷体_GB2312" w:cs="Times New Roman"/>
          <w:color w:val="000000"/>
          <w:kern w:val="0"/>
          <w:sz w:val="32"/>
          <w:szCs w:val="32"/>
          <w:lang w:val="en-US" w:eastAsia="zh-CN"/>
        </w:rPr>
        <w:t>（二）本次事故不承担责任的单位及个人的情况说明</w:t>
      </w:r>
      <w:bookmarkEnd w:id="38"/>
    </w:p>
    <w:p>
      <w:pPr>
        <w:autoSpaceDE w:val="0"/>
        <w:autoSpaceDN w:val="0"/>
        <w:adjustRightInd w:val="0"/>
        <w:snapToGrid w:val="0"/>
        <w:spacing w:line="560" w:lineRule="exact"/>
        <w:ind w:firstLine="643" w:firstLineChars="200"/>
        <w:textAlignment w:val="baseline"/>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1.海南鸿洲游艇产业发展投资集团有限公司：“康森号”游艇停泊码头</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海南鸿洲游艇产业发展投资集团有限公司为鸿洲码头产权及权属管理单位，本次事故中，该码头作为“康森号”游艇停泊码头。本次事故中的涉事摩托艇未进入鸿洲码头港池及泊位管控区域，未靠泊码头、未使用码头相关配套设施，仅在码头外侧公共通航水域与“康森号”游艇临时集结。该公共水域不属于鸿洲码头运营管控范畴，且该单位未参与本次海上摩托艇驾乘活动的组织运营，未提供任何配套服务，与本次事故隐患滋生、事故发生均无法律上的因果关系，不存在安全管理过错。综合事故关联性判断，海南鸿洲游艇产业发展投资集团有限公司不承担本次事故相关责任。</w:t>
      </w:r>
    </w:p>
    <w:p>
      <w:pPr>
        <w:autoSpaceDE w:val="0"/>
        <w:autoSpaceDN w:val="0"/>
        <w:adjustRightInd w:val="0"/>
        <w:snapToGrid w:val="0"/>
        <w:spacing w:line="560" w:lineRule="exact"/>
        <w:ind w:firstLine="643" w:firstLineChars="200"/>
        <w:textAlignment w:val="baseline"/>
        <w:outlineLvl w:val="2"/>
        <w:rPr>
          <w:rFonts w:hint="default" w:ascii="方正仿宋_GB2312" w:hAnsi="方正仿宋_GB2312" w:eastAsia="方正仿宋_GB2312" w:cs="方正仿宋_GB2312"/>
          <w:b/>
          <w:bCs/>
          <w:color w:val="auto"/>
          <w:sz w:val="32"/>
          <w:szCs w:val="32"/>
          <w:highlight w:val="none"/>
          <w:lang w:val="en-US" w:eastAsia="zh-CN"/>
        </w:rPr>
      </w:pPr>
      <w:r>
        <w:rPr>
          <w:rFonts w:hint="eastAsia" w:ascii="仿宋_GB2312" w:hAnsi="仿宋_GB2312" w:eastAsia="仿宋_GB2312" w:cs="仿宋_GB2312"/>
          <w:b/>
          <w:bCs/>
          <w:kern w:val="2"/>
          <w:sz w:val="32"/>
          <w:szCs w:val="32"/>
          <w:lang w:val="en-US" w:eastAsia="zh-CN" w:bidi="ar-SA"/>
        </w:rPr>
        <w:t>2.</w:t>
      </w:r>
      <w:r>
        <w:rPr>
          <w:rFonts w:hint="eastAsia" w:ascii="仿宋_GB2312" w:hAnsi="仿宋_GB2312" w:eastAsia="仿宋_GB2312" w:cs="仿宋_GB2312"/>
          <w:b/>
          <w:bCs/>
          <w:color w:val="auto"/>
          <w:kern w:val="2"/>
          <w:sz w:val="32"/>
          <w:szCs w:val="32"/>
          <w:lang w:val="en-US" w:eastAsia="zh-CN" w:bidi="ar-SA"/>
        </w:rPr>
        <w:t>黄某某2及三亚泓昇游艇帆船俱乐部有限责任公司：运送游客的游艇的所有者及管理单位</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color w:val="auto"/>
          <w:kern w:val="2"/>
          <w:sz w:val="32"/>
          <w:szCs w:val="32"/>
          <w:lang w:val="en-US" w:eastAsia="zh-CN" w:bidi="ar-SA"/>
        </w:rPr>
        <w:t>黄某某2为本次出海“森康号”游艇当班船长，三亚泓昇游艇帆船俱乐部有限责任公司为涉事游艇管理单位。本次行程中，游艇按规定合规出海，黄某某2驾驶游艇安全将全部游客运送至指定体验海域，并在现场依规完成游客从游艇换乘摩托艇的交接工作。</w:t>
      </w:r>
    </w:p>
    <w:p>
      <w:pPr>
        <w:autoSpaceDE w:val="0"/>
        <w:autoSpaceDN w:val="0"/>
        <w:adjustRightInd w:val="0"/>
        <w:snapToGrid w:val="0"/>
        <w:spacing w:line="560" w:lineRule="exact"/>
        <w:ind w:firstLine="640" w:firstLineChars="200"/>
        <w:textAlignment w:val="baseline"/>
        <w:rPr>
          <w:rFonts w:hint="eastAsia" w:ascii="仿宋" w:hAnsi="仿宋" w:eastAsia="仿宋" w:cs="方正仿宋_GB2312"/>
          <w:color w:val="auto"/>
          <w:sz w:val="32"/>
          <w:szCs w:val="32"/>
          <w:highlight w:val="none"/>
        </w:rPr>
      </w:pPr>
      <w:r>
        <w:rPr>
          <w:rFonts w:hint="eastAsia" w:ascii="仿宋_GB2312" w:hAnsi="仿宋_GB2312" w:eastAsia="仿宋_GB2312" w:cs="仿宋_GB2312"/>
          <w:b w:val="0"/>
          <w:bCs w:val="0"/>
          <w:color w:val="auto"/>
          <w:kern w:val="2"/>
          <w:sz w:val="32"/>
          <w:szCs w:val="32"/>
          <w:lang w:val="en-US" w:eastAsia="zh-CN" w:bidi="ar-SA"/>
        </w:rPr>
        <w:t>本次事故发生在游客独立驾驶摩托艇高速驾乘体验阶段，属于摩托艇项目经营体验环节，不属于游艇航行、转运、登离船管控范畴。黄某某2及三亚泓昇游艇帆船俱乐部有限责任公司已完整履行本次海上运输及游客转运的安全管理义务，其履职行为与本次摩托艇碰撞死亡事故无法律上的因果关系，综合事故关联性判断，黄某某2及</w:t>
      </w:r>
      <w:r>
        <w:rPr>
          <w:rFonts w:hint="eastAsia" w:ascii="仿宋_GB2312" w:hAnsi="仿宋_GB2312" w:eastAsia="仿宋_GB2312" w:cs="仿宋_GB2312"/>
          <w:b w:val="0"/>
          <w:bCs w:val="0"/>
          <w:kern w:val="2"/>
          <w:sz w:val="32"/>
          <w:szCs w:val="32"/>
          <w:lang w:val="en-US" w:eastAsia="zh-CN" w:bidi="ar-SA"/>
        </w:rPr>
        <w:t>三亚泓昇游艇帆船俱乐部有限责任公司在本起事故中不承担事故责任。</w:t>
      </w:r>
    </w:p>
    <w:p>
      <w:pPr>
        <w:autoSpaceDE w:val="0"/>
        <w:autoSpaceDN w:val="0"/>
        <w:adjustRightInd w:val="0"/>
        <w:snapToGrid w:val="0"/>
        <w:spacing w:line="560" w:lineRule="exact"/>
        <w:ind w:firstLine="643" w:firstLineChars="200"/>
        <w:textAlignment w:val="baseline"/>
        <w:outlineLvl w:val="2"/>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w:t>
      </w:r>
      <w:r>
        <w:rPr>
          <w:rFonts w:hint="eastAsia" w:ascii="仿宋_GB2312" w:hAnsi="仿宋_GB2312" w:eastAsia="仿宋_GB2312" w:cs="仿宋_GB2312"/>
          <w:b/>
          <w:bCs/>
          <w:color w:val="auto"/>
          <w:kern w:val="2"/>
          <w:sz w:val="32"/>
          <w:szCs w:val="32"/>
          <w:lang w:val="en-US" w:eastAsia="zh-CN" w:bidi="ar-SA"/>
        </w:rPr>
        <w:t>黄某某1：摩托艇体验项目教练：</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color w:val="auto"/>
          <w:kern w:val="2"/>
          <w:sz w:val="32"/>
          <w:szCs w:val="32"/>
          <w:lang w:val="en-US" w:eastAsia="zh-CN" w:bidi="ar-SA"/>
        </w:rPr>
        <w:t>黄某某1，系涉事摩托艇体验项目驾乘教练。事发前，其已对摩托艇驾乘体验人员开展摩托艇驾驶操作指导；航行过程中发现张某某、任某某驾驶的摩托艇间距过小、行驶速度过快，及时喊话警示。综合研判，黄某某1已依法履行驾乘指导、现场提醒等岗位职责，综合事故关联性判断，黄某某1在本起事故中不承担事故责任。</w:t>
      </w:r>
    </w:p>
    <w:p>
      <w:pPr>
        <w:autoSpaceDE w:val="0"/>
        <w:autoSpaceDN w:val="0"/>
        <w:adjustRightInd w:val="0"/>
        <w:snapToGrid w:val="0"/>
        <w:spacing w:line="560" w:lineRule="exact"/>
        <w:ind w:firstLine="643" w:firstLineChars="200"/>
        <w:textAlignment w:val="baseline"/>
        <w:outlineLvl w:val="2"/>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w:t>
      </w:r>
      <w:r>
        <w:rPr>
          <w:rFonts w:hint="eastAsia" w:ascii="仿宋_GB2312" w:hAnsi="仿宋_GB2312" w:eastAsia="仿宋_GB2312" w:cs="仿宋_GB2312"/>
          <w:b/>
          <w:bCs/>
          <w:color w:val="auto"/>
          <w:kern w:val="2"/>
          <w:sz w:val="32"/>
          <w:szCs w:val="32"/>
          <w:lang w:val="en-US" w:eastAsia="zh-CN" w:bidi="ar-SA"/>
        </w:rPr>
        <w:t>刘某某：牟某某联系的摩托艇驾乘体验服务提供者之一</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color w:val="auto"/>
          <w:kern w:val="2"/>
          <w:sz w:val="32"/>
          <w:szCs w:val="32"/>
          <w:lang w:val="en-US" w:eastAsia="zh-CN" w:bidi="ar-SA"/>
        </w:rPr>
        <w:t>刘某某，系本次海上摩托艇驾乘体验项目的摩托艇提供人之一，其提供的摩托艇已依规完成登记备案手续。经查，针对本次海上摩托艇驾乘体验服务，刘某某与游客、其余摩托艇提供人员、现场教练等人之间均不存在经济往来关系，未实际参与该项目经营性收费或赚取差价等形式的服务运营，其所提供的摩托艇未发生事故，并非本次摩托艇碰撞事故的涉事艇只。综合事故关联性判断，刘某某不存</w:t>
      </w:r>
      <w:r>
        <w:rPr>
          <w:rFonts w:hint="eastAsia" w:ascii="仿宋_GB2312" w:hAnsi="仿宋_GB2312" w:eastAsia="仿宋_GB2312" w:cs="仿宋_GB2312"/>
          <w:b w:val="0"/>
          <w:bCs w:val="0"/>
          <w:kern w:val="2"/>
          <w:sz w:val="32"/>
          <w:szCs w:val="32"/>
          <w:lang w:val="en-US" w:eastAsia="zh-CN" w:bidi="ar-SA"/>
        </w:rPr>
        <w:t>在引发事故的过错行为，在本起事故中不承担事故责任。</w:t>
      </w:r>
    </w:p>
    <w:p>
      <w:pPr>
        <w:autoSpaceDE w:val="0"/>
        <w:autoSpaceDN w:val="0"/>
        <w:adjustRightInd w:val="0"/>
        <w:snapToGrid w:val="0"/>
        <w:spacing w:line="560" w:lineRule="exact"/>
        <w:ind w:firstLine="643" w:firstLineChars="200"/>
        <w:textAlignment w:val="baseline"/>
        <w:outlineLvl w:val="2"/>
        <w:rPr>
          <w:rFonts w:hint="default" w:ascii="方正仿宋_GB2312" w:hAnsi="方正仿宋_GB2312" w:eastAsia="方正仿宋_GB2312" w:cs="方正仿宋_GB2312"/>
          <w:b/>
          <w:bCs/>
          <w:color w:val="auto"/>
          <w:sz w:val="32"/>
          <w:szCs w:val="32"/>
          <w:highlight w:val="none"/>
          <w:lang w:val="en-US" w:eastAsia="zh-CN"/>
        </w:rPr>
      </w:pPr>
      <w:r>
        <w:rPr>
          <w:rFonts w:hint="eastAsia" w:ascii="仿宋_GB2312" w:hAnsi="仿宋_GB2312" w:eastAsia="仿宋_GB2312" w:cs="仿宋_GB2312"/>
          <w:b/>
          <w:bCs/>
          <w:kern w:val="2"/>
          <w:sz w:val="32"/>
          <w:szCs w:val="32"/>
          <w:lang w:val="en-US" w:eastAsia="zh-CN" w:bidi="ar-SA"/>
        </w:rPr>
        <w:t>5.</w:t>
      </w:r>
      <w:r>
        <w:rPr>
          <w:rFonts w:hint="eastAsia" w:ascii="仿宋_GB2312" w:hAnsi="仿宋_GB2312" w:eastAsia="仿宋_GB2312" w:cs="仿宋_GB2312"/>
          <w:b/>
          <w:bCs/>
          <w:color w:val="auto"/>
          <w:kern w:val="2"/>
          <w:sz w:val="32"/>
          <w:szCs w:val="32"/>
          <w:lang w:val="en-US" w:eastAsia="zh-CN" w:bidi="ar-SA"/>
        </w:rPr>
        <w:t>丁某某及三亚见山是海俱乐部有限公司：涉事摩托艇提供者之一</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丁某某，系死者张某某所驾驶并在事故中遭受碰撞的摩托艇提供方。该摩托艇归属其自有公司（三亚见山是海俱乐部有限公司）管理，具有合法经营资质，其所提供的摩托艇已依法完成登记备案。在将摩托艇交由张某某驾驶前，丁某某已对张某某开展摩托艇驾驶操作指导及安全注意事项提醒。综合以上事实，丁某某作为摩托艇提供方及其自有公司法人，已依法履行相应安全管理义务。综合事故关联性判断，丁某某及其自有公司（三亚见山是海俱乐部有限公司）在本起事故中不</w:t>
      </w:r>
      <w:r>
        <w:rPr>
          <w:rFonts w:hint="eastAsia" w:ascii="仿宋_GB2312" w:hAnsi="仿宋_GB2312" w:eastAsia="仿宋_GB2312" w:cs="仿宋_GB2312"/>
          <w:b w:val="0"/>
          <w:bCs w:val="0"/>
          <w:kern w:val="2"/>
          <w:sz w:val="32"/>
          <w:szCs w:val="32"/>
          <w:lang w:val="en-US" w:eastAsia="zh-CN" w:bidi="ar-SA"/>
        </w:rPr>
        <w:t>承担事故责任。</w:t>
      </w:r>
    </w:p>
    <w:p>
      <w:pPr>
        <w:autoSpaceDE w:val="0"/>
        <w:autoSpaceDN w:val="0"/>
        <w:adjustRightInd w:val="0"/>
        <w:snapToGrid w:val="0"/>
        <w:spacing w:line="560" w:lineRule="exact"/>
        <w:ind w:firstLine="643" w:firstLineChars="200"/>
        <w:textAlignment w:val="baseline"/>
        <w:outlineLvl w:val="2"/>
        <w:rPr>
          <w:rFonts w:hint="default"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6.</w:t>
      </w:r>
      <w:r>
        <w:rPr>
          <w:rFonts w:hint="eastAsia" w:ascii="仿宋_GB2312" w:hAnsi="仿宋_GB2312" w:eastAsia="仿宋_GB2312" w:cs="仿宋_GB2312"/>
          <w:b/>
          <w:bCs/>
          <w:color w:val="auto"/>
          <w:kern w:val="2"/>
          <w:sz w:val="32"/>
          <w:szCs w:val="32"/>
          <w:lang w:val="en-US" w:eastAsia="zh-CN" w:bidi="ar-SA"/>
        </w:rPr>
        <w:t>某涛：摩托艇提供者之一</w:t>
      </w:r>
    </w:p>
    <w:p>
      <w:pPr>
        <w:autoSpaceDE w:val="0"/>
        <w:autoSpaceDN w:val="0"/>
        <w:adjustRightInd w:val="0"/>
        <w:snapToGrid w:val="0"/>
        <w:spacing w:line="560" w:lineRule="exact"/>
        <w:ind w:firstLine="640" w:firstLineChars="200"/>
        <w:textAlignment w:val="baseline"/>
        <w:outlineLvl w:val="9"/>
        <w:rPr>
          <w:rFonts w:hint="eastAsia" w:ascii="方正仿宋_GB2312" w:hAnsi="方正仿宋_GB2312" w:eastAsia="方正仿宋_GB2312" w:cs="方正仿宋_GB2312"/>
          <w:color w:val="auto"/>
          <w:sz w:val="32"/>
          <w:szCs w:val="32"/>
          <w:highlight w:val="none"/>
          <w:lang w:val="en-US" w:eastAsia="zh-CN"/>
        </w:rPr>
      </w:pPr>
      <w:r>
        <w:rPr>
          <w:rFonts w:hint="eastAsia" w:ascii="仿宋_GB2312" w:hAnsi="仿宋_GB2312" w:eastAsia="仿宋_GB2312" w:cs="仿宋_GB2312"/>
          <w:b w:val="0"/>
          <w:bCs w:val="0"/>
          <w:color w:val="auto"/>
          <w:kern w:val="2"/>
          <w:sz w:val="32"/>
          <w:szCs w:val="32"/>
          <w:lang w:val="en-US" w:eastAsia="zh-CN" w:bidi="ar-SA"/>
        </w:rPr>
        <w:t>某涛，男性。调查过程中，其余涉案人员仅能提供“某涛”这一称谓，无法提供其完整姓名、有效联系方式等可供精准身份核查的线索；同时，其提供的摩托艇未参与本次碰撞事故，在整个海上摩托艇驾乘活动中的相关行为，与本次碰撞事故的发生不存在法律上的因果关系，不存在诱发、促成事故的过错行为。综合调查价值与事故关联性判断，现有证据不足以认定某涛实施了与本次事故存在关联的违法违规行为，未针对其开展公安身份核验等深度调查取证工作。综合事故关联性判断，某涛对本起事</w:t>
      </w:r>
      <w:r>
        <w:rPr>
          <w:rFonts w:hint="eastAsia" w:ascii="仿宋_GB2312" w:hAnsi="仿宋_GB2312" w:eastAsia="仿宋_GB2312" w:cs="仿宋_GB2312"/>
          <w:b w:val="0"/>
          <w:bCs w:val="0"/>
          <w:kern w:val="2"/>
          <w:sz w:val="32"/>
          <w:szCs w:val="32"/>
          <w:lang w:val="en-US" w:eastAsia="zh-CN" w:bidi="ar-SA"/>
        </w:rPr>
        <w:t>故不承担任何事故责任。</w:t>
      </w:r>
    </w:p>
    <w:p>
      <w:pPr>
        <w:autoSpaceDE w:val="0"/>
        <w:autoSpaceDN w:val="0"/>
        <w:adjustRightInd w:val="0"/>
        <w:snapToGrid w:val="0"/>
        <w:spacing w:line="560" w:lineRule="exact"/>
        <w:ind w:firstLine="643" w:firstLineChars="200"/>
        <w:textAlignment w:val="baseline"/>
        <w:outlineLvl w:val="2"/>
        <w:rPr>
          <w:rFonts w:hint="default"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7.</w:t>
      </w:r>
      <w:r>
        <w:rPr>
          <w:rFonts w:hint="eastAsia" w:ascii="仿宋_GB2312" w:hAnsi="仿宋_GB2312" w:eastAsia="仿宋_GB2312" w:cs="仿宋_GB2312"/>
          <w:b/>
          <w:bCs/>
          <w:color w:val="auto"/>
          <w:kern w:val="2"/>
          <w:sz w:val="32"/>
          <w:szCs w:val="32"/>
          <w:lang w:val="en-US" w:eastAsia="zh-CN" w:bidi="ar-SA"/>
        </w:rPr>
        <w:t>田某：同行游客</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color w:val="auto"/>
          <w:kern w:val="2"/>
          <w:sz w:val="32"/>
          <w:szCs w:val="32"/>
          <w:lang w:val="en-US" w:eastAsia="zh-CN" w:bidi="ar-SA"/>
        </w:rPr>
        <w:t>田某，系本次事故张某某、任某某等 5 名同行游客之一，仅负责本次三亚出行旅游事项联络及相关费用结算工作，未参与涉事旅游项目实际经营活动，不存在经营获利行为；其相关行为与本起事故发生不存在直接因果关系。田某在</w:t>
      </w:r>
      <w:r>
        <w:rPr>
          <w:rFonts w:hint="eastAsia" w:ascii="仿宋_GB2312" w:hAnsi="仿宋_GB2312" w:eastAsia="仿宋_GB2312" w:cs="仿宋_GB2312"/>
          <w:b w:val="0"/>
          <w:bCs w:val="0"/>
          <w:kern w:val="2"/>
          <w:sz w:val="32"/>
          <w:szCs w:val="32"/>
          <w:lang w:val="en-US" w:eastAsia="zh-CN" w:bidi="ar-SA"/>
        </w:rPr>
        <w:t>本起事故中不承担事故责任。</w:t>
      </w:r>
    </w:p>
    <w:bookmarkEnd w:id="37"/>
    <w:p>
      <w:pPr>
        <w:spacing w:line="560" w:lineRule="exact"/>
        <w:ind w:firstLine="640" w:firstLineChars="200"/>
        <w:outlineLvl w:val="0"/>
        <w:rPr>
          <w:rFonts w:hint="eastAsia" w:ascii="黑体" w:hAnsi="黑体" w:eastAsia="黑体" w:cs="黑体"/>
          <w:b w:val="0"/>
          <w:bCs/>
          <w:color w:val="auto"/>
          <w:sz w:val="32"/>
          <w:highlight w:val="none"/>
        </w:rPr>
      </w:pPr>
      <w:bookmarkStart w:id="39" w:name="_Toc21985"/>
      <w:bookmarkStart w:id="40" w:name="heading_23"/>
      <w:r>
        <w:rPr>
          <w:rFonts w:hint="eastAsia" w:ascii="黑体" w:hAnsi="黑体" w:eastAsia="黑体" w:cs="黑体"/>
          <w:b w:val="0"/>
          <w:bCs/>
          <w:color w:val="auto"/>
          <w:sz w:val="32"/>
          <w:highlight w:val="none"/>
        </w:rPr>
        <w:t>五、对有关责任人员和责任单位的处理建议</w:t>
      </w:r>
      <w:bookmarkEnd w:id="39"/>
      <w:bookmarkEnd w:id="40"/>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41" w:name="_Toc86"/>
      <w:bookmarkStart w:id="42" w:name="heading_24"/>
      <w:r>
        <w:rPr>
          <w:rFonts w:hint="eastAsia" w:ascii="Times New Roman" w:hAnsi="Times New Roman" w:eastAsia="楷体_GB2312" w:cs="Times New Roman"/>
          <w:color w:val="000000"/>
          <w:kern w:val="0"/>
          <w:sz w:val="32"/>
          <w:szCs w:val="32"/>
          <w:lang w:val="en-US" w:eastAsia="zh-CN"/>
        </w:rPr>
        <w:t>（一）因在事故中死亡免予或不予追究责任人员</w:t>
      </w:r>
      <w:bookmarkEnd w:id="41"/>
      <w:bookmarkEnd w:id="42"/>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张某某，</w:t>
      </w:r>
      <w:r>
        <w:rPr>
          <w:rFonts w:hint="eastAsia" w:ascii="仿宋_GB2312" w:hAnsi="仿宋_GB2312" w:eastAsia="仿宋_GB2312" w:cs="仿宋_GB2312"/>
          <w:b w:val="0"/>
          <w:bCs w:val="0"/>
          <w:kern w:val="2"/>
          <w:sz w:val="32"/>
          <w:szCs w:val="32"/>
          <w:lang w:val="en-US" w:eastAsia="zh-CN" w:bidi="ar-SA"/>
        </w:rPr>
        <w:t>男，死者，被撞海上摩托艇驾乘操作人员。驾驶摩托艇期间安全风险辨识能力不足，冒险高速航行，航行过程中未与其他摩托艇保持安全间距，突发转向时操作处置不当，直接造成两艇相撞，是本次事故发生的直接原因，承担事故直接责任。其行为未履行谨慎驾驶、使用安全航速、与其他船只/摩托艇保持安全距离以防范碰撞的法定义务，其行为违反《中华人民共和国海上交通安全法》第四十三条、第四十九条[</w:t>
      </w:r>
      <w:r>
        <w:rPr>
          <w:rFonts w:hint="eastAsia" w:ascii="仿宋_GB2312" w:hAnsi="仿宋_GB2312" w:eastAsia="仿宋_GB2312" w:cs="仿宋_GB2312"/>
          <w:b w:val="0"/>
          <w:bCs w:val="0"/>
          <w:kern w:val="2"/>
          <w:sz w:val="32"/>
          <w:szCs w:val="32"/>
          <w:lang w:val="en-US" w:eastAsia="zh-CN" w:bidi="ar-SA"/>
        </w:rPr>
        <w:footnoteReference w:id="0"/>
      </w:r>
      <w:r>
        <w:rPr>
          <w:rFonts w:hint="eastAsia" w:ascii="仿宋_GB2312" w:hAnsi="仿宋_GB2312" w:eastAsia="仿宋_GB2312" w:cs="仿宋_GB2312"/>
          <w:b w:val="0"/>
          <w:bCs w:val="0"/>
          <w:kern w:val="2"/>
          <w:sz w:val="32"/>
          <w:szCs w:val="32"/>
          <w:lang w:val="en-US" w:eastAsia="zh-CN" w:bidi="ar-SA"/>
        </w:rPr>
        <w:t>]相关规定。鉴于其已在事故中身亡，依法免于追究相关责任。</w:t>
      </w:r>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43" w:name="_Toc9260"/>
      <w:r>
        <w:rPr>
          <w:rFonts w:hint="eastAsia" w:ascii="Times New Roman" w:hAnsi="Times New Roman" w:eastAsia="楷体_GB2312" w:cs="Times New Roman"/>
          <w:color w:val="000000"/>
          <w:kern w:val="0"/>
          <w:sz w:val="32"/>
          <w:szCs w:val="32"/>
          <w:lang w:val="en-US" w:eastAsia="zh-CN"/>
        </w:rPr>
        <w:t>（二）建议免于追究责任人员</w:t>
      </w:r>
      <w:bookmarkEnd w:id="43"/>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color w:val="auto"/>
          <w:kern w:val="2"/>
          <w:sz w:val="32"/>
          <w:szCs w:val="32"/>
          <w:lang w:val="en-US" w:eastAsia="zh-CN" w:bidi="ar-SA"/>
        </w:rPr>
        <w:t xml:space="preserve">任某某，男，涉事海上摩托艇驾乘操作人员。任某某系死者张某某同行友人，与张某某一行 5 人结伴赴三亚游玩。本次海上摩托艇驾乘活动中双方不存在业务合作、收益分配等经营与利益往来。经调查核实，事故起因系二人在高速驾驶摩托艇的过程中，张某某驾驶摩托艇突然转向，致使离其距离较近的任某某难以有效避让，进而发生摩托艇碰撞事故，任某某对事故发生不存在主观过错。事故发生后，任某某积极配合事故调查及善后调解工作，积极配合向死者家属支付补偿款 40 </w:t>
      </w:r>
      <w:r>
        <w:rPr>
          <w:rFonts w:hint="eastAsia" w:ascii="仿宋_GB2312" w:hAnsi="仿宋_GB2312" w:eastAsia="仿宋_GB2312" w:cs="仿宋_GB2312"/>
          <w:b w:val="0"/>
          <w:bCs w:val="0"/>
          <w:kern w:val="2"/>
          <w:sz w:val="32"/>
          <w:szCs w:val="32"/>
          <w:lang w:val="en-US" w:eastAsia="zh-CN" w:bidi="ar-SA"/>
        </w:rPr>
        <w:t>万元，双方已签订调解协议，款项已足额履行完毕，死者家属出具谅解意见，明确不予追究其相关责任。综合全案事实、过错情形及善后处置结果，建议对</w:t>
      </w:r>
      <w:r>
        <w:rPr>
          <w:rFonts w:hint="eastAsia" w:ascii="仿宋_GB2312" w:hAnsi="仿宋_GB2312" w:eastAsia="仿宋_GB2312" w:cs="仿宋_GB2312"/>
          <w:b w:val="0"/>
          <w:bCs w:val="0"/>
          <w:color w:val="auto"/>
          <w:kern w:val="2"/>
          <w:sz w:val="32"/>
          <w:szCs w:val="32"/>
          <w:lang w:val="en-US" w:eastAsia="zh-CN" w:bidi="ar-SA"/>
        </w:rPr>
        <w:t>任某某</w:t>
      </w:r>
      <w:r>
        <w:rPr>
          <w:rFonts w:hint="eastAsia" w:ascii="仿宋_GB2312" w:hAnsi="仿宋_GB2312" w:eastAsia="仿宋_GB2312" w:cs="仿宋_GB2312"/>
          <w:b w:val="0"/>
          <w:bCs w:val="0"/>
          <w:kern w:val="2"/>
          <w:sz w:val="32"/>
          <w:szCs w:val="32"/>
          <w:lang w:val="en-US" w:eastAsia="zh-CN" w:bidi="ar-SA"/>
        </w:rPr>
        <w:t>开展相关安全事故警示教育，免于追究其事故相关责任。</w:t>
      </w:r>
      <w:bookmarkStart w:id="44" w:name="heading_25"/>
    </w:p>
    <w:bookmarkEnd w:id="44"/>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45" w:name="heading_28"/>
      <w:bookmarkStart w:id="46" w:name="_Toc18682"/>
      <w:r>
        <w:rPr>
          <w:rFonts w:hint="eastAsia" w:ascii="Times New Roman" w:hAnsi="Times New Roman" w:eastAsia="楷体_GB2312" w:cs="Times New Roman"/>
          <w:color w:val="000000"/>
          <w:kern w:val="0"/>
          <w:sz w:val="32"/>
          <w:szCs w:val="32"/>
          <w:lang w:val="en-US" w:eastAsia="zh-CN"/>
        </w:rPr>
        <w:t>（三）对事故有关责任人员的行政处罚建议</w:t>
      </w:r>
      <w:bookmarkEnd w:id="45"/>
      <w:bookmarkEnd w:id="46"/>
    </w:p>
    <w:p>
      <w:pPr>
        <w:autoSpaceDE w:val="0"/>
        <w:autoSpaceDN w:val="0"/>
        <w:adjustRightInd w:val="0"/>
        <w:snapToGrid w:val="0"/>
        <w:spacing w:line="560" w:lineRule="exact"/>
        <w:ind w:firstLine="643" w:firstLineChars="200"/>
        <w:textAlignment w:val="baseline"/>
        <w:outlineLvl w:val="2"/>
        <w:rPr>
          <w:rFonts w:hint="eastAsia" w:ascii="方正仿宋_GB2312" w:hAnsi="方正仿宋_GB2312" w:eastAsia="方正仿宋_GB2312" w:cs="方正仿宋_GB2312"/>
          <w:b/>
          <w:bCs/>
          <w:color w:val="auto"/>
          <w:sz w:val="32"/>
          <w:szCs w:val="32"/>
          <w:highlight w:val="none"/>
        </w:rPr>
      </w:pPr>
      <w:r>
        <w:rPr>
          <w:rFonts w:hint="eastAsia" w:ascii="仿宋_GB2312" w:hAnsi="仿宋_GB2312" w:eastAsia="仿宋_GB2312" w:cs="仿宋_GB2312"/>
          <w:b/>
          <w:bCs/>
          <w:kern w:val="2"/>
          <w:sz w:val="32"/>
          <w:szCs w:val="32"/>
          <w:lang w:val="en-US" w:eastAsia="zh-CN" w:bidi="ar-SA"/>
        </w:rPr>
        <w:t>1.</w:t>
      </w:r>
      <w:r>
        <w:rPr>
          <w:rFonts w:hint="eastAsia" w:ascii="仿宋_GB2312" w:hAnsi="仿宋_GB2312" w:eastAsia="仿宋_GB2312" w:cs="仿宋_GB2312"/>
          <w:b/>
          <w:bCs/>
          <w:color w:val="auto"/>
          <w:kern w:val="2"/>
          <w:sz w:val="32"/>
          <w:szCs w:val="32"/>
          <w:lang w:val="en-US" w:eastAsia="zh-CN" w:bidi="ar-SA"/>
        </w:rPr>
        <w:t>李某：海南造浪小鲨鱼俱乐部有限公司实际负责人</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color w:val="auto"/>
          <w:kern w:val="2"/>
          <w:sz w:val="32"/>
          <w:szCs w:val="32"/>
          <w:lang w:val="en-US" w:eastAsia="zh-CN" w:bidi="ar-SA"/>
        </w:rPr>
        <w:t>李某</w:t>
      </w:r>
      <w:r>
        <w:rPr>
          <w:rFonts w:hint="eastAsia" w:ascii="仿宋_GB2312" w:hAnsi="仿宋_GB2312" w:eastAsia="仿宋_GB2312" w:cs="仿宋_GB2312"/>
          <w:b w:val="0"/>
          <w:bCs w:val="0"/>
          <w:kern w:val="2"/>
          <w:sz w:val="32"/>
          <w:szCs w:val="32"/>
          <w:lang w:val="en-US" w:eastAsia="zh-CN" w:bidi="ar-SA"/>
        </w:rPr>
        <w:t>，男，海南造浪小鲨鱼俱乐部有限公司实际负责人，全面负责公司泊位租赁经营管理工作。未履行单位主要负责人安全生产法定职责，建立健全泊位租赁安全管理机制缺失；对外转租泊位过程中，仅进行口头约定，未审核次承租人经营资质、摩托艇备案及驾乘人员资质；未督促落实泊位停靠、摩托艇集结出海安全风险管控，未开展常态化隐患排查，放任无合规手续摩托艇依托泊位集结开展经营性驾乘活动，源头安全管控缺失，对事故发生负有重要领导责任。其行为违反《中华人民共和国安全生产法》第二十一条相关规定，建议有关行政执法部门依据《中华人民共和国安全生产法》第九十五条[</w:t>
      </w:r>
      <w:r>
        <w:rPr>
          <w:rFonts w:hint="eastAsia" w:ascii="仿宋_GB2312" w:hAnsi="仿宋_GB2312" w:eastAsia="仿宋_GB2312" w:cs="仿宋_GB2312"/>
          <w:b w:val="0"/>
          <w:bCs w:val="0"/>
          <w:kern w:val="2"/>
          <w:sz w:val="32"/>
          <w:szCs w:val="32"/>
          <w:lang w:val="en-US" w:eastAsia="zh-CN" w:bidi="ar-SA"/>
        </w:rPr>
        <w:footnoteReference w:id="1"/>
      </w:r>
      <w:r>
        <w:rPr>
          <w:rFonts w:hint="eastAsia" w:ascii="仿宋_GB2312" w:hAnsi="仿宋_GB2312" w:eastAsia="仿宋_GB2312" w:cs="仿宋_GB2312"/>
          <w:b w:val="0"/>
          <w:bCs w:val="0"/>
          <w:kern w:val="2"/>
          <w:sz w:val="32"/>
          <w:szCs w:val="32"/>
          <w:lang w:val="en-US" w:eastAsia="zh-CN" w:bidi="ar-SA"/>
        </w:rPr>
        <w:t>]相关规定对其进行处罚。</w:t>
      </w:r>
    </w:p>
    <w:p>
      <w:pPr>
        <w:autoSpaceDE w:val="0"/>
        <w:autoSpaceDN w:val="0"/>
        <w:adjustRightInd w:val="0"/>
        <w:snapToGrid w:val="0"/>
        <w:spacing w:line="560" w:lineRule="exact"/>
        <w:ind w:firstLine="643" w:firstLineChars="200"/>
        <w:textAlignment w:val="baseline"/>
        <w:outlineLvl w:val="2"/>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bCs/>
          <w:kern w:val="2"/>
          <w:sz w:val="32"/>
          <w:szCs w:val="32"/>
          <w:lang w:val="en-US" w:eastAsia="zh-CN" w:bidi="ar-SA"/>
        </w:rPr>
        <w:t>2.</w:t>
      </w:r>
      <w:r>
        <w:rPr>
          <w:rFonts w:hint="eastAsia" w:ascii="仿宋_GB2312" w:hAnsi="仿宋_GB2312" w:eastAsia="仿宋_GB2312" w:cs="仿宋_GB2312"/>
          <w:b/>
          <w:bCs/>
          <w:color w:val="auto"/>
          <w:kern w:val="2"/>
          <w:sz w:val="32"/>
          <w:szCs w:val="32"/>
          <w:lang w:val="en-US" w:eastAsia="zh-CN" w:bidi="ar-SA"/>
        </w:rPr>
        <w:t>杨某：海南小西长风体育文化发展有限公司法定代表人</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杨某，</w:t>
      </w:r>
      <w:r>
        <w:rPr>
          <w:rFonts w:hint="eastAsia" w:ascii="仿宋_GB2312" w:hAnsi="仿宋_GB2312" w:eastAsia="仿宋_GB2312" w:cs="仿宋_GB2312"/>
          <w:b w:val="0"/>
          <w:bCs w:val="0"/>
          <w:kern w:val="2"/>
          <w:sz w:val="32"/>
          <w:szCs w:val="32"/>
          <w:lang w:val="en-US" w:eastAsia="zh-CN" w:bidi="ar-SA"/>
        </w:rPr>
        <w:t>男，海南小西长风体育文化发展有限公司法定代表人，全面负责泊位承租、转租运营管理。泊位转租合同未约定水上经营安全约束条款，未审核造浪公司经营资质；泊位转租后长期疏于跟踪管控，未及时发现、制止造浪公司再次对外口头转租行为，安全风险源头管控存在漏洞，对事故发生负有一定领导责任。其行为违反《中华人民共和国安全生产法》第二十一条相关规定，建议有关行政执法部门依据《中华人民共和国安全生产法》九十五条相关规定对其进行处罚。</w:t>
      </w:r>
    </w:p>
    <w:p>
      <w:pPr>
        <w:autoSpaceDE w:val="0"/>
        <w:autoSpaceDN w:val="0"/>
        <w:adjustRightInd w:val="0"/>
        <w:snapToGrid w:val="0"/>
        <w:spacing w:line="560" w:lineRule="exact"/>
        <w:ind w:firstLine="643" w:firstLineChars="200"/>
        <w:textAlignment w:val="baseline"/>
        <w:outlineLvl w:val="2"/>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w:t>
      </w:r>
      <w:r>
        <w:rPr>
          <w:rFonts w:hint="eastAsia" w:ascii="仿宋_GB2312" w:hAnsi="仿宋_GB2312" w:eastAsia="仿宋_GB2312" w:cs="仿宋_GB2312"/>
          <w:b/>
          <w:bCs/>
          <w:color w:val="auto"/>
          <w:kern w:val="2"/>
          <w:sz w:val="32"/>
          <w:szCs w:val="32"/>
          <w:lang w:val="en-US" w:eastAsia="zh-CN" w:bidi="ar-SA"/>
        </w:rPr>
        <w:t>苏某某：国际码头运营单位法定代表人</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color w:val="auto"/>
          <w:kern w:val="2"/>
          <w:sz w:val="32"/>
          <w:szCs w:val="32"/>
          <w:lang w:val="en-US" w:eastAsia="zh-CN" w:bidi="ar-SA"/>
        </w:rPr>
        <w:t>苏某某，</w:t>
      </w:r>
      <w:r>
        <w:rPr>
          <w:rFonts w:hint="eastAsia" w:ascii="仿宋_GB2312" w:hAnsi="仿宋_GB2312" w:eastAsia="仿宋_GB2312" w:cs="仿宋_GB2312"/>
          <w:b w:val="0"/>
          <w:bCs w:val="0"/>
          <w:kern w:val="2"/>
          <w:sz w:val="32"/>
          <w:szCs w:val="32"/>
          <w:lang w:val="en-US" w:eastAsia="zh-CN" w:bidi="ar-SA"/>
        </w:rPr>
        <w:t>女，国际码头经营单位海南国际游艇交易有限公司法定代表人，全面负责码头泊位运营管理。泊位租赁管理制度不完善，租赁合同缺少转租限制性条款；未建立靠泊摩托艇合规性核查机制，对多艘摩托艇集中出海开展经营性活动排查管控存在疏漏，源头风险防控存在短板，对事故发生负有次要领导责任。其行为违反《中华人民共和国安全生产法》第二十一条相关规定，建议有关行政执法部门依据《中华人民共和国安全生产法》九十五条相关规定对其进行处罚。</w:t>
      </w:r>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47" w:name="_Toc31697"/>
      <w:r>
        <w:rPr>
          <w:rFonts w:hint="eastAsia" w:ascii="Times New Roman" w:hAnsi="Times New Roman" w:eastAsia="楷体_GB2312" w:cs="Times New Roman"/>
          <w:color w:val="000000"/>
          <w:kern w:val="0"/>
          <w:sz w:val="32"/>
          <w:szCs w:val="32"/>
          <w:lang w:val="en-US" w:eastAsia="zh-CN"/>
        </w:rPr>
        <w:t>（四）对事故有关责任单位的行政处罚建议</w:t>
      </w:r>
      <w:bookmarkEnd w:id="47"/>
    </w:p>
    <w:p>
      <w:pPr>
        <w:autoSpaceDE w:val="0"/>
        <w:autoSpaceDN w:val="0"/>
        <w:adjustRightInd w:val="0"/>
        <w:snapToGrid w:val="0"/>
        <w:spacing w:line="560" w:lineRule="exact"/>
        <w:ind w:firstLine="643" w:firstLineChars="200"/>
        <w:textAlignment w:val="baseline"/>
        <w:outlineLvl w:val="2"/>
        <w:rPr>
          <w:rFonts w:hint="eastAsia" w:ascii="方正仿宋_GB2312" w:hAnsi="方正仿宋_GB2312" w:eastAsia="方正仿宋_GB2312" w:cs="方正仿宋_GB2312"/>
          <w:b/>
          <w:bCs/>
          <w:color w:val="auto"/>
          <w:sz w:val="32"/>
          <w:szCs w:val="32"/>
          <w:highlight w:val="none"/>
        </w:rPr>
      </w:pPr>
      <w:r>
        <w:rPr>
          <w:rFonts w:hint="eastAsia" w:ascii="仿宋_GB2312" w:hAnsi="仿宋_GB2312" w:eastAsia="仿宋_GB2312" w:cs="仿宋_GB2312"/>
          <w:b/>
          <w:bCs/>
          <w:kern w:val="2"/>
          <w:sz w:val="32"/>
          <w:szCs w:val="32"/>
          <w:lang w:val="en-US" w:eastAsia="zh-CN" w:bidi="ar-SA"/>
        </w:rPr>
        <w:t>1.</w:t>
      </w:r>
      <w:r>
        <w:rPr>
          <w:rFonts w:hint="eastAsia" w:ascii="仿宋_GB2312" w:hAnsi="仿宋_GB2312" w:eastAsia="仿宋_GB2312" w:cs="仿宋_GB2312"/>
          <w:b/>
          <w:bCs/>
          <w:color w:val="auto"/>
          <w:kern w:val="2"/>
          <w:sz w:val="32"/>
          <w:szCs w:val="32"/>
          <w:lang w:val="en-US" w:eastAsia="zh-CN" w:bidi="ar-SA"/>
        </w:rPr>
        <w:t>杜某某：三亚之行旅游活动组织者（自然人经营主体）</w:t>
      </w:r>
    </w:p>
    <w:p>
      <w:pPr>
        <w:autoSpaceDE w:val="0"/>
        <w:autoSpaceDN w:val="0"/>
        <w:adjustRightInd w:val="0"/>
        <w:snapToGrid w:val="0"/>
        <w:spacing w:line="560" w:lineRule="exact"/>
        <w:ind w:firstLine="643"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bCs/>
          <w:color w:val="auto"/>
          <w:kern w:val="2"/>
          <w:sz w:val="32"/>
          <w:szCs w:val="32"/>
          <w:lang w:val="en-US" w:eastAsia="zh-CN" w:bidi="ar-SA"/>
        </w:rPr>
        <w:t>杜某某，</w:t>
      </w:r>
      <w:r>
        <w:rPr>
          <w:rFonts w:hint="eastAsia" w:ascii="仿宋_GB2312" w:hAnsi="仿宋_GB2312" w:eastAsia="仿宋_GB2312" w:cs="仿宋_GB2312"/>
          <w:b w:val="0"/>
          <w:bCs w:val="0"/>
          <w:kern w:val="2"/>
          <w:sz w:val="32"/>
          <w:szCs w:val="32"/>
          <w:lang w:val="en-US" w:eastAsia="zh-CN" w:bidi="ar-SA"/>
        </w:rPr>
        <w:t>男，自然人经营主体[</w:t>
      </w:r>
      <w:r>
        <w:rPr>
          <w:rFonts w:hint="eastAsia" w:ascii="仿宋_GB2312" w:hAnsi="仿宋_GB2312" w:eastAsia="仿宋_GB2312" w:cs="仿宋_GB2312"/>
          <w:b w:val="0"/>
          <w:bCs w:val="0"/>
          <w:kern w:val="2"/>
          <w:sz w:val="32"/>
          <w:szCs w:val="32"/>
          <w:lang w:val="en-US" w:eastAsia="zh-CN" w:bidi="ar-SA"/>
        </w:rPr>
        <w:footnoteReference w:id="2"/>
      </w:r>
      <w:r>
        <w:rPr>
          <w:rFonts w:hint="eastAsia" w:ascii="仿宋_GB2312" w:hAnsi="仿宋_GB2312" w:eastAsia="仿宋_GB2312" w:cs="仿宋_GB2312"/>
          <w:b w:val="0"/>
          <w:bCs w:val="0"/>
          <w:kern w:val="2"/>
          <w:sz w:val="32"/>
          <w:szCs w:val="32"/>
          <w:lang w:val="en-US" w:eastAsia="zh-CN" w:bidi="ar-SA"/>
        </w:rPr>
        <w:t>]。系本次海上游艇、摩托艇驾乘体验项目实际承接人，长期以自然人身份私自承接海上经营性游乐项目，未办理市场主体登记，不具备海上游乐合法经营资质，违规组织海上经营活动；未履行《中华人民共和国安全生产法》第四十一条规定的法定安全管理义务，安全生产主体责任严重缺失：未针对其所承接的旅游项目建立安全风险分级管控制度，未针对多艇高速并行、游客无证驾艇等场景开展事前风险研判、分级管控；未建立事故隐患排查治理机制，未核查涉案摩托艇登记备案、操作人员驾驶资质，未及时消除艇源、人员资质类重大安全隐患；安全风险警示告知严重缺位，承接摩托艇驾乘体验项目时未充分向游客提示摩托艇高速混行、突发转向等操作风险；未统筹管控航行路线、海上航行秩序，全程未采取技术、管理措施排查并消除碰撞隐患，安全管理全面缺位。前述系列违法违规行为叠加是造成本次人员死亡事故的重要原因，</w:t>
      </w:r>
      <w:r>
        <w:rPr>
          <w:rFonts w:hint="eastAsia" w:ascii="仿宋_GB2312" w:hAnsi="仿宋_GB2312" w:eastAsia="仿宋_GB2312" w:cs="仿宋_GB2312"/>
          <w:b w:val="0"/>
          <w:bCs w:val="0"/>
          <w:color w:val="auto"/>
          <w:kern w:val="2"/>
          <w:sz w:val="32"/>
          <w:szCs w:val="32"/>
          <w:lang w:val="en-US" w:eastAsia="zh-CN" w:bidi="ar-SA"/>
        </w:rPr>
        <w:t>杜某某对本起事故负主要责任。另，杜某某在</w:t>
      </w:r>
      <w:r>
        <w:rPr>
          <w:rFonts w:hint="eastAsia" w:ascii="仿宋_GB2312" w:hAnsi="仿宋_GB2312" w:eastAsia="仿宋_GB2312" w:cs="仿宋_GB2312"/>
          <w:b w:val="0"/>
          <w:bCs w:val="0"/>
          <w:kern w:val="2"/>
          <w:sz w:val="32"/>
          <w:szCs w:val="32"/>
          <w:lang w:val="en-US" w:eastAsia="zh-CN" w:bidi="ar-SA"/>
        </w:rPr>
        <w:t>事故善后处置及调查取证全过程中，多次拒不承担赔偿责任、拒绝配合调查询问，阻碍事故核查工作开展，违法情节恶劣、社会影响差。其前述行为已违反《海南自由贸易港旅游条例》第五十四条[</w:t>
      </w:r>
      <w:r>
        <w:rPr>
          <w:rFonts w:hint="eastAsia" w:ascii="仿宋_GB2312" w:hAnsi="仿宋_GB2312" w:eastAsia="仿宋_GB2312" w:cs="仿宋_GB2312"/>
          <w:b w:val="0"/>
          <w:bCs w:val="0"/>
          <w:kern w:val="2"/>
          <w:sz w:val="32"/>
          <w:szCs w:val="32"/>
          <w:lang w:val="en-US" w:eastAsia="zh-CN" w:bidi="ar-SA"/>
        </w:rPr>
        <w:footnoteReference w:id="3"/>
      </w:r>
      <w:r>
        <w:rPr>
          <w:rFonts w:hint="eastAsia" w:ascii="仿宋_GB2312" w:hAnsi="仿宋_GB2312" w:eastAsia="仿宋_GB2312" w:cs="仿宋_GB2312"/>
          <w:b w:val="0"/>
          <w:bCs w:val="0"/>
          <w:kern w:val="2"/>
          <w:sz w:val="32"/>
          <w:szCs w:val="32"/>
          <w:lang w:val="en-US" w:eastAsia="zh-CN" w:bidi="ar-SA"/>
        </w:rPr>
        <w:t>]、《中华人民共和国安全生产法》第四十一条[</w:t>
      </w:r>
      <w:r>
        <w:rPr>
          <w:rFonts w:hint="eastAsia" w:ascii="仿宋_GB2312" w:hAnsi="仿宋_GB2312" w:eastAsia="仿宋_GB2312" w:cs="仿宋_GB2312"/>
          <w:b w:val="0"/>
          <w:bCs w:val="0"/>
          <w:kern w:val="2"/>
          <w:sz w:val="32"/>
          <w:szCs w:val="32"/>
          <w:lang w:val="en-US" w:eastAsia="zh-CN" w:bidi="ar-SA"/>
        </w:rPr>
        <w:footnoteReference w:id="4"/>
      </w:r>
      <w:r>
        <w:rPr>
          <w:rFonts w:hint="eastAsia" w:ascii="仿宋_GB2312" w:hAnsi="仿宋_GB2312" w:eastAsia="仿宋_GB2312" w:cs="仿宋_GB2312"/>
          <w:b w:val="0"/>
          <w:bCs w:val="0"/>
          <w:kern w:val="2"/>
          <w:sz w:val="32"/>
          <w:szCs w:val="32"/>
          <w:lang w:val="en-US" w:eastAsia="zh-CN" w:bidi="ar-SA"/>
        </w:rPr>
        <w:t>]、《安全生产违法行为行政处罚办法》第三十七条[</w:t>
      </w:r>
      <w:r>
        <w:rPr>
          <w:rFonts w:hint="eastAsia" w:ascii="仿宋_GB2312" w:hAnsi="仿宋_GB2312" w:eastAsia="仿宋_GB2312" w:cs="仿宋_GB2312"/>
          <w:b w:val="0"/>
          <w:bCs w:val="0"/>
          <w:kern w:val="2"/>
          <w:sz w:val="32"/>
          <w:szCs w:val="32"/>
          <w:lang w:val="en-US" w:eastAsia="zh-CN" w:bidi="ar-SA"/>
        </w:rPr>
        <w:footnoteReference w:id="5"/>
      </w:r>
      <w:r>
        <w:rPr>
          <w:rFonts w:hint="eastAsia" w:ascii="仿宋_GB2312" w:hAnsi="仿宋_GB2312" w:eastAsia="仿宋_GB2312" w:cs="仿宋_GB2312"/>
          <w:b w:val="0"/>
          <w:bCs w:val="0"/>
          <w:kern w:val="2"/>
          <w:sz w:val="32"/>
          <w:szCs w:val="32"/>
          <w:lang w:val="en-US" w:eastAsia="zh-CN" w:bidi="ar-SA"/>
        </w:rPr>
        <w:t>]第二款相关规定，建议依据《中华人民共和国安全生产法》第一百一十四条[</w:t>
      </w:r>
      <w:r>
        <w:rPr>
          <w:rFonts w:hint="eastAsia" w:ascii="仿宋_GB2312" w:hAnsi="仿宋_GB2312" w:eastAsia="仿宋_GB2312" w:cs="仿宋_GB2312"/>
          <w:b w:val="0"/>
          <w:bCs w:val="0"/>
          <w:kern w:val="2"/>
          <w:sz w:val="32"/>
          <w:szCs w:val="32"/>
          <w:lang w:val="en-US" w:eastAsia="zh-CN" w:bidi="ar-SA"/>
        </w:rPr>
        <w:footnoteReference w:id="6"/>
      </w:r>
      <w:r>
        <w:rPr>
          <w:rFonts w:hint="eastAsia" w:ascii="仿宋_GB2312" w:hAnsi="仿宋_GB2312" w:eastAsia="仿宋_GB2312" w:cs="仿宋_GB2312"/>
          <w:b w:val="0"/>
          <w:bCs w:val="0"/>
          <w:kern w:val="2"/>
          <w:sz w:val="32"/>
          <w:szCs w:val="32"/>
          <w:lang w:val="en-US" w:eastAsia="zh-CN" w:bidi="ar-SA"/>
        </w:rPr>
        <w:t>]之法定罚款幅度上限对该自然人经营者予以从重行政处罚。其行为涉嫌构成《中华人民共和国刑法》第一百三十四条[</w:t>
      </w:r>
      <w:r>
        <w:rPr>
          <w:rFonts w:hint="eastAsia" w:ascii="仿宋_GB2312" w:hAnsi="仿宋_GB2312" w:eastAsia="仿宋_GB2312" w:cs="仿宋_GB2312"/>
          <w:b w:val="0"/>
          <w:bCs w:val="0"/>
          <w:kern w:val="2"/>
          <w:sz w:val="32"/>
          <w:szCs w:val="32"/>
          <w:lang w:val="en-US" w:eastAsia="zh-CN" w:bidi="ar-SA"/>
        </w:rPr>
        <w:footnoteReference w:id="7"/>
      </w:r>
      <w:r>
        <w:rPr>
          <w:rFonts w:hint="eastAsia" w:ascii="仿宋_GB2312" w:hAnsi="仿宋_GB2312" w:eastAsia="仿宋_GB2312" w:cs="仿宋_GB2312"/>
          <w:b w:val="0"/>
          <w:bCs w:val="0"/>
          <w:kern w:val="2"/>
          <w:sz w:val="32"/>
          <w:szCs w:val="32"/>
          <w:lang w:val="en-US" w:eastAsia="zh-CN" w:bidi="ar-SA"/>
        </w:rPr>
        <w:t>]重大责任事故罪的，建议将相关违法犯罪线索移送司法机关，由属地公安或者海警部门依照刑法有关规定调查，构成犯罪的，依照刑法有关规定追究其刑事责任。</w:t>
      </w:r>
    </w:p>
    <w:p>
      <w:pPr>
        <w:autoSpaceDE w:val="0"/>
        <w:autoSpaceDN w:val="0"/>
        <w:adjustRightInd w:val="0"/>
        <w:snapToGrid w:val="0"/>
        <w:spacing w:line="560" w:lineRule="exact"/>
        <w:ind w:firstLine="643" w:firstLineChars="200"/>
        <w:textAlignment w:val="baseline"/>
        <w:outlineLvl w:val="2"/>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w:t>
      </w:r>
      <w:r>
        <w:rPr>
          <w:rFonts w:hint="eastAsia" w:ascii="仿宋_GB2312" w:hAnsi="仿宋_GB2312" w:eastAsia="仿宋_GB2312" w:cs="仿宋_GB2312"/>
          <w:b/>
          <w:bCs/>
          <w:color w:val="auto"/>
          <w:kern w:val="2"/>
          <w:sz w:val="32"/>
          <w:szCs w:val="32"/>
          <w:lang w:val="en-US" w:eastAsia="zh-CN" w:bidi="ar-SA"/>
        </w:rPr>
        <w:t>于某某：摩托艇体验服务提供者（自然人经营主体）</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color w:val="auto"/>
          <w:kern w:val="2"/>
          <w:sz w:val="32"/>
          <w:szCs w:val="32"/>
          <w:lang w:val="en-US" w:eastAsia="zh-CN" w:bidi="ar-SA"/>
        </w:rPr>
        <w:t>于某某，</w:t>
      </w:r>
      <w:r>
        <w:rPr>
          <w:rFonts w:hint="eastAsia" w:ascii="仿宋_GB2312" w:hAnsi="仿宋_GB2312" w:eastAsia="仿宋_GB2312" w:cs="仿宋_GB2312"/>
          <w:b w:val="0"/>
          <w:bCs w:val="0"/>
          <w:kern w:val="2"/>
          <w:sz w:val="32"/>
          <w:szCs w:val="32"/>
          <w:lang w:val="en-US" w:eastAsia="zh-CN" w:bidi="ar-SA"/>
        </w:rPr>
        <w:t>男，案涉经营性海上摩托艇驾乘体验项目自然人经营主体、涉案摩托艇所有权人。其以自有摩托艇有偿向游客提供海上摩托艇驾乘体验经营服务，但未依法办理市场主体登记，未按照海南省涉海体育运动管理相关要求完成摩托艇登记备案，不具备合法经营主体资格</w:t>
      </w:r>
      <w:r>
        <w:rPr>
          <w:rFonts w:hint="eastAsia" w:ascii="仿宋_GB2312" w:hAnsi="仿宋_GB2312" w:eastAsia="仿宋_GB2312" w:cs="仿宋_GB2312"/>
          <w:b w:val="0"/>
          <w:bCs w:val="0"/>
          <w:color w:val="auto"/>
          <w:kern w:val="2"/>
          <w:sz w:val="32"/>
          <w:szCs w:val="32"/>
          <w:lang w:val="en-US" w:eastAsia="zh-CN" w:bidi="ar-SA"/>
        </w:rPr>
        <w:t>；向任某某提供摩托艇驾乘体验服务期间，未针对摩托艇高速航行、多艇近距离并行、游客无驾驶资质独自驾艇等高危场景开展风险研判并落实分级管控措施，未建立隐患排查治理机制；未履行对任某某的安全风险告知、安全操作管控义务，放任不具备独立驾驶能力的任某某单独操控摩托艇出海航行，未采取有效管理措施消除碰撞事故隐患。前述多重违法违规行为及安全管控缺失，为本次碰撞事故埋下重大安全隐患，于某某对本起事故发生负有间接管理责任。另，于某某在事故善</w:t>
      </w:r>
      <w:r>
        <w:rPr>
          <w:rFonts w:hint="eastAsia" w:ascii="仿宋_GB2312" w:hAnsi="仿宋_GB2312" w:eastAsia="仿宋_GB2312" w:cs="仿宋_GB2312"/>
          <w:b w:val="0"/>
          <w:bCs w:val="0"/>
          <w:kern w:val="2"/>
          <w:sz w:val="32"/>
          <w:szCs w:val="32"/>
          <w:lang w:val="en-US" w:eastAsia="zh-CN" w:bidi="ar-SA"/>
        </w:rPr>
        <w:t>后处置及调查取证全过程中，多次拒不承担赔偿责任、拒绝配合调查询问，阻碍事故核查工作开展，违法情节恶劣、社会影响差。其前述行为已违反《海南自由贸易港旅游条例》第五十四条、《中华人民共和国安全生产法》第四十一条、《安全生产违法行为行政处罚办法》第三十七条第二款相关规定，建议依据《中华人民共和国安全生产法》第一百一十四条之法定罚款幅度上限对该自然人经营者予以从重行政处罚。其行为涉嫌构成《中华人民共和国刑法》第一百三十四条重大责任事故罪的，建议将相关违法犯罪线索移送司法机关，由属地公安或者海警部门依照刑法有关规定调查，构成犯罪的，依照刑法有关规定追究其刑事责任。</w:t>
      </w:r>
    </w:p>
    <w:p>
      <w:pPr>
        <w:autoSpaceDE w:val="0"/>
        <w:autoSpaceDN w:val="0"/>
        <w:adjustRightInd w:val="0"/>
        <w:snapToGrid w:val="0"/>
        <w:spacing w:line="560" w:lineRule="exact"/>
        <w:ind w:firstLine="643" w:firstLineChars="200"/>
        <w:textAlignment w:val="baseline"/>
        <w:outlineLvl w:val="2"/>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w:t>
      </w:r>
      <w:r>
        <w:rPr>
          <w:rFonts w:hint="eastAsia" w:ascii="仿宋_GB2312" w:hAnsi="仿宋_GB2312" w:eastAsia="仿宋_GB2312" w:cs="仿宋_GB2312"/>
          <w:b/>
          <w:bCs/>
          <w:color w:val="auto"/>
          <w:kern w:val="2"/>
          <w:sz w:val="32"/>
          <w:szCs w:val="32"/>
          <w:lang w:val="en-US" w:eastAsia="zh-CN" w:bidi="ar-SA"/>
        </w:rPr>
        <w:t>牟某某：摩托艇驾乘体验项目中介（自然人经营主体）</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牟某某，男，自然人经营主体。海上摩托艇驾乘体验项目中介人员，无</w:t>
      </w:r>
      <w:r>
        <w:rPr>
          <w:rFonts w:hint="eastAsia" w:ascii="仿宋_GB2312" w:hAnsi="仿宋_GB2312" w:eastAsia="仿宋_GB2312" w:cs="仿宋_GB2312"/>
          <w:b w:val="0"/>
          <w:bCs w:val="0"/>
          <w:kern w:val="2"/>
          <w:sz w:val="32"/>
          <w:szCs w:val="32"/>
          <w:lang w:val="en-US" w:eastAsia="zh-CN" w:bidi="ar-SA"/>
        </w:rPr>
        <w:t>水上旅游中介经营资质。受委托联系刘某组织6 艘摩托艇出海，未审慎核查摩托艇备案文书、适航资料、驾驶员操作资质，未尽中介法定审慎甄别义务，推动不合规船队投入海上经营活动，对事故发生存在过错，承担事故次要责任。其前述行为已违反《海南省涉海涉空体育运动项目管理办法 (试行)》第八条[</w:t>
      </w:r>
      <w:r>
        <w:rPr>
          <w:rFonts w:hint="eastAsia" w:ascii="仿宋_GB2312" w:hAnsi="仿宋_GB2312" w:eastAsia="仿宋_GB2312" w:cs="仿宋_GB2312"/>
          <w:b w:val="0"/>
          <w:bCs w:val="0"/>
          <w:kern w:val="2"/>
          <w:sz w:val="32"/>
          <w:szCs w:val="32"/>
          <w:lang w:val="en-US" w:eastAsia="zh-CN" w:bidi="ar-SA"/>
        </w:rPr>
        <w:footnoteReference w:id="8"/>
      </w:r>
      <w:r>
        <w:rPr>
          <w:rFonts w:hint="eastAsia" w:ascii="仿宋_GB2312" w:hAnsi="仿宋_GB2312" w:eastAsia="仿宋_GB2312" w:cs="仿宋_GB2312"/>
          <w:b w:val="0"/>
          <w:bCs w:val="0"/>
          <w:kern w:val="2"/>
          <w:sz w:val="32"/>
          <w:szCs w:val="32"/>
          <w:lang w:val="en-US" w:eastAsia="zh-CN" w:bidi="ar-SA"/>
        </w:rPr>
        <w:t>]、《三亚市水上旅游项目促进和管理办法》（三府规〔2021〕17号）第四条[</w:t>
      </w:r>
      <w:r>
        <w:rPr>
          <w:rFonts w:hint="eastAsia" w:ascii="仿宋_GB2312" w:hAnsi="仿宋_GB2312" w:eastAsia="仿宋_GB2312" w:cs="仿宋_GB2312"/>
          <w:b w:val="0"/>
          <w:bCs w:val="0"/>
          <w:kern w:val="2"/>
          <w:sz w:val="32"/>
          <w:szCs w:val="32"/>
          <w:lang w:val="en-US" w:eastAsia="zh-CN" w:bidi="ar-SA"/>
        </w:rPr>
        <w:footnoteReference w:id="9"/>
      </w:r>
      <w:r>
        <w:rPr>
          <w:rFonts w:hint="eastAsia" w:ascii="仿宋_GB2312" w:hAnsi="仿宋_GB2312" w:eastAsia="仿宋_GB2312" w:cs="仿宋_GB2312"/>
          <w:b w:val="0"/>
          <w:bCs w:val="0"/>
          <w:kern w:val="2"/>
          <w:sz w:val="32"/>
          <w:szCs w:val="32"/>
          <w:lang w:val="en-US" w:eastAsia="zh-CN" w:bidi="ar-SA"/>
        </w:rPr>
        <w:t>]、《海南自由贸易港旅游条例》第五十四条、《中华人民共和国安全生产法》第二十一条[</w:t>
      </w:r>
      <w:r>
        <w:rPr>
          <w:rFonts w:hint="eastAsia" w:ascii="仿宋_GB2312" w:hAnsi="仿宋_GB2312" w:eastAsia="仿宋_GB2312" w:cs="仿宋_GB2312"/>
          <w:b w:val="0"/>
          <w:bCs w:val="0"/>
          <w:kern w:val="2"/>
          <w:sz w:val="32"/>
          <w:szCs w:val="32"/>
          <w:lang w:val="en-US" w:eastAsia="zh-CN" w:bidi="ar-SA"/>
        </w:rPr>
        <w:footnoteReference w:id="10"/>
      </w:r>
      <w:r>
        <w:rPr>
          <w:rFonts w:hint="eastAsia" w:ascii="仿宋_GB2312" w:hAnsi="仿宋_GB2312" w:eastAsia="仿宋_GB2312" w:cs="仿宋_GB2312"/>
          <w:b w:val="0"/>
          <w:bCs w:val="0"/>
          <w:kern w:val="2"/>
          <w:sz w:val="32"/>
          <w:szCs w:val="32"/>
          <w:lang w:val="en-US" w:eastAsia="zh-CN" w:bidi="ar-SA"/>
        </w:rPr>
        <w:t>]相关规定，鉴于其在事故善后处理和调查取证期间，积极协调家属承担赔偿责任并配合调查，建议依据《中华人民共和国安全生产法》第一百一十四条之法定罚款下限对该自然人经营者予以从轻行政处罚。</w:t>
      </w:r>
    </w:p>
    <w:p>
      <w:pPr>
        <w:autoSpaceDE w:val="0"/>
        <w:autoSpaceDN w:val="0"/>
        <w:adjustRightInd w:val="0"/>
        <w:snapToGrid w:val="0"/>
        <w:spacing w:line="560" w:lineRule="exact"/>
        <w:ind w:firstLine="643" w:firstLineChars="200"/>
        <w:textAlignment w:val="baseline"/>
        <w:outlineLvl w:val="2"/>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4.海南国际游艇交易有限公司：国际码头运营公司</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海南国际游艇交易有限公司其泊位租赁管理存在风险管控漏洞，对泊位多层转租行为失察失管，未持续跟踪泊位实际使用主体；对多艘摩托艇集中靠泊、集结出海开展经营性活动缺少常态化合规核查，源头风险管控存在短板。其行为违反《中华人民共和国安全生产法》第四十九条[</w:t>
      </w:r>
      <w:r>
        <w:rPr>
          <w:rFonts w:hint="eastAsia" w:ascii="仿宋_GB2312" w:hAnsi="仿宋_GB2312" w:eastAsia="仿宋_GB2312" w:cs="仿宋_GB2312"/>
          <w:b w:val="0"/>
          <w:bCs w:val="0"/>
          <w:kern w:val="2"/>
          <w:sz w:val="32"/>
          <w:szCs w:val="32"/>
          <w:lang w:val="en-US" w:eastAsia="zh-CN" w:bidi="ar-SA"/>
        </w:rPr>
        <w:footnoteReference w:id="11"/>
      </w:r>
      <w:r>
        <w:rPr>
          <w:rFonts w:hint="eastAsia" w:ascii="仿宋_GB2312" w:hAnsi="仿宋_GB2312" w:eastAsia="仿宋_GB2312" w:cs="仿宋_GB2312"/>
          <w:b w:val="0"/>
          <w:bCs w:val="0"/>
          <w:kern w:val="2"/>
          <w:sz w:val="32"/>
          <w:szCs w:val="32"/>
          <w:lang w:val="en-US" w:eastAsia="zh-CN" w:bidi="ar-SA"/>
        </w:rPr>
        <w:t>]相关规定，建议依据《中华人民共和国安全生产法》第一百零三条[</w:t>
      </w:r>
      <w:r>
        <w:rPr>
          <w:rFonts w:hint="eastAsia" w:ascii="仿宋_GB2312" w:hAnsi="仿宋_GB2312" w:eastAsia="仿宋_GB2312" w:cs="仿宋_GB2312"/>
          <w:b w:val="0"/>
          <w:bCs w:val="0"/>
          <w:kern w:val="2"/>
          <w:sz w:val="32"/>
          <w:szCs w:val="32"/>
          <w:lang w:val="en-US" w:eastAsia="zh-CN" w:bidi="ar-SA"/>
        </w:rPr>
        <w:footnoteReference w:id="12"/>
      </w:r>
      <w:r>
        <w:rPr>
          <w:rFonts w:hint="eastAsia" w:ascii="仿宋_GB2312" w:hAnsi="仿宋_GB2312" w:eastAsia="仿宋_GB2312" w:cs="仿宋_GB2312"/>
          <w:b w:val="0"/>
          <w:bCs w:val="0"/>
          <w:kern w:val="2"/>
          <w:sz w:val="32"/>
          <w:szCs w:val="32"/>
          <w:lang w:val="en-US" w:eastAsia="zh-CN" w:bidi="ar-SA"/>
        </w:rPr>
        <w:t>]相关规定进行处罚。</w:t>
      </w:r>
    </w:p>
    <w:p>
      <w:pPr>
        <w:autoSpaceDE w:val="0"/>
        <w:autoSpaceDN w:val="0"/>
        <w:adjustRightInd w:val="0"/>
        <w:snapToGrid w:val="0"/>
        <w:spacing w:line="560" w:lineRule="exact"/>
        <w:ind w:firstLine="643" w:firstLineChars="200"/>
        <w:textAlignment w:val="baseline"/>
        <w:outlineLvl w:val="2"/>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5.海南小西长风体育文化发展有限公司：国际码头泊位租赁公司</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海南小西长风体育文化发展有限公司将其承租码头泊位转租给海南造浪小鲨鱼俱乐部有限公司前，未审核次承租人经营资质；未对海南造浪小鲨鱼俱乐部有限公司水上经营安全管理进行监督，未发现并制止泊位再次口头转租的行为，未履行承租方监督义务。其行为违反《中华人民共和国安全生产法》第四十九条相关规定，建议依据《中华人民共和国安全生产法》第一百零三条相关规定进行处罚。</w:t>
      </w:r>
    </w:p>
    <w:p>
      <w:pPr>
        <w:autoSpaceDE w:val="0"/>
        <w:autoSpaceDN w:val="0"/>
        <w:adjustRightInd w:val="0"/>
        <w:snapToGrid w:val="0"/>
        <w:spacing w:line="560" w:lineRule="exact"/>
        <w:ind w:firstLine="643" w:firstLineChars="200"/>
        <w:textAlignment w:val="baseline"/>
        <w:outlineLvl w:val="2"/>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6.海南造浪小鲨鱼俱乐部有限公司：国际码头泊位转租公司</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海南造浪小鲨鱼俱乐部有限公司对其泊位转租管理极不规范，仅以口头协议将泊位提供给</w:t>
      </w:r>
      <w:r>
        <w:rPr>
          <w:rFonts w:hint="eastAsia" w:ascii="仿宋_GB2312" w:hAnsi="仿宋_GB2312" w:eastAsia="仿宋_GB2312" w:cs="仿宋_GB2312"/>
          <w:b w:val="0"/>
          <w:bCs w:val="0"/>
          <w:color w:val="auto"/>
          <w:kern w:val="2"/>
          <w:sz w:val="32"/>
          <w:szCs w:val="32"/>
          <w:lang w:val="en-US" w:eastAsia="zh-CN" w:bidi="ar-SA"/>
        </w:rPr>
        <w:t>丁某某、于某某</w:t>
      </w:r>
      <w:r>
        <w:rPr>
          <w:rFonts w:hint="eastAsia" w:ascii="仿宋_GB2312" w:hAnsi="仿宋_GB2312" w:eastAsia="仿宋_GB2312" w:cs="仿宋_GB2312"/>
          <w:b w:val="0"/>
          <w:bCs w:val="0"/>
          <w:kern w:val="2"/>
          <w:sz w:val="32"/>
          <w:szCs w:val="32"/>
          <w:lang w:val="en-US" w:eastAsia="zh-CN" w:bidi="ar-SA"/>
        </w:rPr>
        <w:t>停靠摩托艇；未核查摩托艇所有人、驾驶员资质；泊位交付后未开展常态化安全巡查，放任不合规摩托艇依托泊位集结出海。</w:t>
      </w:r>
      <w:bookmarkStart w:id="48" w:name="heading_30"/>
      <w:r>
        <w:rPr>
          <w:rFonts w:hint="eastAsia" w:ascii="仿宋_GB2312" w:hAnsi="仿宋_GB2312" w:eastAsia="仿宋_GB2312" w:cs="仿宋_GB2312"/>
          <w:b w:val="0"/>
          <w:bCs w:val="0"/>
          <w:kern w:val="2"/>
          <w:sz w:val="32"/>
          <w:szCs w:val="32"/>
          <w:lang w:val="en-US" w:eastAsia="zh-CN" w:bidi="ar-SA"/>
        </w:rPr>
        <w:t>其行为违反《中华人民共和国安全生产法》第四十九条相关规定，建议依据《中华人民共和国安全生产法》第一百零三条相关规定进行处罚。</w:t>
      </w:r>
    </w:p>
    <w:p>
      <w:pPr>
        <w:spacing w:line="560" w:lineRule="exact"/>
        <w:ind w:firstLine="640" w:firstLineChars="200"/>
        <w:outlineLvl w:val="0"/>
        <w:rPr>
          <w:rFonts w:hint="eastAsia" w:ascii="黑体" w:hAnsi="黑体" w:eastAsia="黑体" w:cs="黑体"/>
          <w:b w:val="0"/>
          <w:bCs/>
          <w:color w:val="auto"/>
          <w:highlight w:val="none"/>
        </w:rPr>
      </w:pPr>
      <w:bookmarkStart w:id="49" w:name="_Toc18674"/>
      <w:r>
        <w:rPr>
          <w:rFonts w:hint="eastAsia" w:ascii="黑体" w:hAnsi="黑体" w:eastAsia="黑体" w:cs="黑体"/>
          <w:b w:val="0"/>
          <w:bCs/>
          <w:color w:val="auto"/>
          <w:sz w:val="32"/>
          <w:highlight w:val="none"/>
        </w:rPr>
        <w:t>六、事故主要教训</w:t>
      </w:r>
      <w:bookmarkEnd w:id="48"/>
      <w:bookmarkEnd w:id="49"/>
    </w:p>
    <w:p>
      <w:pPr>
        <w:spacing w:line="560" w:lineRule="exact"/>
        <w:ind w:firstLine="640" w:firstLineChars="200"/>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一是水上休闲旅游新业态安全监管链条长、涉及多部门，监管边界易出现盲区，对自然人无证承接项目、无证中介层层撮合、码头泊位多层转租等隐蔽性违规行为，常态化排查整治力度不足，安全隐患长期积淀</w:t>
      </w:r>
      <w:r>
        <w:rPr>
          <w:rFonts w:hint="eastAsia" w:ascii="方正仿宋_GB2312" w:hAnsi="方正仿宋_GB2312" w:eastAsia="方正仿宋_GB2312" w:cs="方正仿宋_GB2312"/>
          <w:color w:val="auto"/>
          <w:sz w:val="32"/>
          <w:szCs w:val="32"/>
          <w:highlight w:val="none"/>
        </w:rPr>
        <w:t>。</w:t>
      </w:r>
    </w:p>
    <w:p>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二是生产经营组织主体安全红线意识严重缺失。大量经营者以自然人身份违规开展海上摩托艇、游艇经营活动，安全管理制度虚化，安全培训流于口头提醒，未有效管控多艇并行、高速航行等重大动态风险。</w:t>
      </w:r>
    </w:p>
    <w:p>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三是泊位租赁链条安全管控普遍失效。码头、多级承租方仅关注泊位租赁收益，未落实次承租人资质审核、靠泊船舶合规核查，为不合规摩托艇集中出海创造条件，源头风险关口失守。</w:t>
      </w:r>
    </w:p>
    <w:p>
      <w:pPr>
        <w:spacing w:line="560" w:lineRule="exact"/>
        <w:ind w:firstLine="640" w:firstLineChars="200"/>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四是摩托艇驾乘人员风险辨识能力不足，漠视海上航行安全规则，高速驾驶、未保持安全间距等危险操作难以实时约束，缺少现场秩序管控手段，极易诱发碰撞类事故。</w:t>
      </w:r>
    </w:p>
    <w:p>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五是安全警示教育存在明显短板，经营主体未完整告知高速航行、多艇混行的致命风险，从业人员与游客风险认知不足，从业人员应急处置能力薄弱。</w:t>
      </w:r>
    </w:p>
    <w:p>
      <w:pPr>
        <w:spacing w:line="560" w:lineRule="exact"/>
        <w:ind w:firstLine="640" w:firstLineChars="200"/>
        <w:outlineLvl w:val="0"/>
        <w:rPr>
          <w:rFonts w:hint="eastAsia" w:ascii="黑体" w:hAnsi="黑体" w:eastAsia="黑体" w:cs="黑体"/>
          <w:b w:val="0"/>
          <w:bCs/>
          <w:color w:val="auto"/>
          <w:sz w:val="32"/>
          <w:highlight w:val="none"/>
        </w:rPr>
      </w:pPr>
      <w:bookmarkStart w:id="50" w:name="_Toc5201"/>
      <w:r>
        <w:rPr>
          <w:rFonts w:hint="eastAsia" w:ascii="黑体" w:hAnsi="黑体" w:eastAsia="黑体" w:cs="黑体"/>
          <w:b w:val="0"/>
          <w:bCs/>
          <w:color w:val="auto"/>
          <w:sz w:val="32"/>
          <w:highlight w:val="none"/>
        </w:rPr>
        <w:t>七、事故整改和防范措施</w:t>
      </w:r>
      <w:bookmarkEnd w:id="50"/>
    </w:p>
    <w:p>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为深刻汲取本次事故教训，坚决防范同类事故再次发生，结合事故成因链条及暴露问题，提出如下整改防范措施：</w:t>
      </w:r>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51" w:name="_Toc12001"/>
      <w:r>
        <w:rPr>
          <w:rFonts w:hint="eastAsia" w:ascii="Times New Roman" w:hAnsi="Times New Roman" w:eastAsia="楷体_GB2312" w:cs="Times New Roman"/>
          <w:color w:val="000000"/>
          <w:kern w:val="0"/>
          <w:sz w:val="32"/>
          <w:szCs w:val="32"/>
          <w:lang w:val="en-US" w:eastAsia="zh-CN"/>
        </w:rPr>
        <w:t>（一）压实各类经营主体安全生产主体责任</w:t>
      </w:r>
      <w:bookmarkEnd w:id="51"/>
    </w:p>
    <w:p>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全面规范经营性海上摩托艇、游艇项目组织管理。严禁自然人无证承接经营性海上游乐业务；所有经营活动必须建立安全管理制度、风险研判机制、多艇协同航行管控方案，明确航行路线、航速、艇间安全距离。</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严格落实船舶、人员资质源头核查。摩托艇、游艇出海前必须核查船舶备案、安全救生设备、驾驶员有效操作资质，无合规手续一律禁止下水；规范开展系统性安全培训，完整告知高速航行、多艇并行等安全风险，留存培训记录。</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健全泊位租赁全链条安全管理。码头运营企业、各级承租方完善租赁合同，增设安全责任、禁止违规转租条款；建立泊位使用主体动态台账，定期核查靠泊船舶经营业态，杜绝口头转租、层层转租失管现象。</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强化海上现场动态管控。每个出海船队配备现场安全管理人员，实时管控航行秩序，及时制止高速竞速、近距离并行等危险行为；完善海上应急处置预案，定期组织应急演练。</w:t>
      </w:r>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52" w:name="_Toc27221"/>
      <w:r>
        <w:rPr>
          <w:rFonts w:hint="eastAsia" w:ascii="Times New Roman" w:hAnsi="Times New Roman" w:eastAsia="楷体_GB2312" w:cs="Times New Roman"/>
          <w:color w:val="000000"/>
          <w:kern w:val="0"/>
          <w:sz w:val="32"/>
          <w:szCs w:val="32"/>
          <w:lang w:val="en-US" w:eastAsia="zh-CN"/>
        </w:rPr>
        <w:t>（二）健全跨部门协同监管机制，消除监管盲区</w:t>
      </w:r>
      <w:bookmarkEnd w:id="52"/>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由三亚市旅游和文化广电体育局牵头，建立旅文、应急、交通、海事、综合执法常态化联合巡查机制，厘清水上游艇、摩托艇监管职责边界，开展海上休闲旅游专项综合治理。</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强化码头源头管控，推行摩托艇、游艇出港联合信息核查制度，依托码头岸基管控阻断“无资质船舶、无证人员”出海通道。</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加大执法震慑力度，重点查处无证经营海上游乐项目、无证中介、泊位违规转租、无证驾驶摩托艇等违法行为，落实处罚闭环管理。</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完善风险信息共享机制，部门之间及时移送违法线索，建立无证经营、重大隐患经营主体黑名单。</w:t>
      </w:r>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53" w:name="_Toc21246"/>
      <w:r>
        <w:rPr>
          <w:rFonts w:hint="eastAsia" w:ascii="Times New Roman" w:hAnsi="Times New Roman" w:eastAsia="楷体_GB2312" w:cs="Times New Roman"/>
          <w:color w:val="000000"/>
          <w:kern w:val="0"/>
          <w:sz w:val="32"/>
          <w:szCs w:val="32"/>
          <w:lang w:val="en-US" w:eastAsia="zh-CN"/>
        </w:rPr>
        <w:t>（三）夯实属地基层网格化风险防控基础</w:t>
      </w:r>
      <w:bookmarkEnd w:id="53"/>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天涯区督促各属地社区优化网格化巡查清单，将辖区人员组织海上游艇、摩托艇经营活动纳入常态化摸排范围，建立线索收集、上报、移交闭环流程。</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面向辖区群众、旅游从业者开展常态化安全普法宣传，畅通隐患举报渠道，引导公众主动举报无证海上游乐经营行为。</w:t>
      </w:r>
    </w:p>
    <w:p>
      <w:pPr>
        <w:autoSpaceDE w:val="0"/>
        <w:autoSpaceDN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000000"/>
          <w:kern w:val="0"/>
          <w:sz w:val="32"/>
          <w:szCs w:val="32"/>
          <w:lang w:val="en-US" w:eastAsia="zh-CN"/>
        </w:rPr>
      </w:pPr>
      <w:bookmarkStart w:id="54" w:name="_Toc21161"/>
      <w:r>
        <w:rPr>
          <w:rFonts w:hint="eastAsia" w:ascii="Times New Roman" w:hAnsi="Times New Roman" w:eastAsia="楷体_GB2312" w:cs="Times New Roman"/>
          <w:color w:val="000000"/>
          <w:kern w:val="0"/>
          <w:sz w:val="32"/>
          <w:szCs w:val="32"/>
          <w:lang w:val="en-US" w:eastAsia="zh-CN"/>
        </w:rPr>
        <w:t>（四）强化安全宣传教育与技术管控</w:t>
      </w:r>
      <w:bookmarkEnd w:id="54"/>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r>
        <w:rPr>
          <w:rFonts w:hint="eastAsia" w:ascii="仿宋_GB2312" w:hAnsi="仿宋_GB2312" w:eastAsia="仿宋_GB2312" w:cs="仿宋_GB2312"/>
          <w:b w:val="0"/>
          <w:bCs w:val="0"/>
          <w:kern w:val="2"/>
          <w:sz w:val="32"/>
          <w:szCs w:val="32"/>
          <w:lang w:val="en-US" w:eastAsia="zh-CN" w:bidi="ar-SA"/>
        </w:rPr>
        <w:t>在全市水上旅游行业开展事故警示教育，组织所有游艇、摩托艇经营主体吸取本次碰撞事故教训；规范安全告知模板，杜绝简单口头警示。</w:t>
      </w:r>
    </w:p>
    <w:p>
      <w:pPr>
        <w:autoSpaceDE w:val="0"/>
        <w:autoSpaceDN w:val="0"/>
        <w:adjustRightInd w:val="0"/>
        <w:snapToGrid w:val="0"/>
        <w:spacing w:line="56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引导海上经营项目运用信息化手段，通过定位、视频监控等方式实时掌握船队航行状态，提升多艇作业动态风险管控能力。</w:t>
      </w:r>
    </w:p>
    <w:p>
      <w:pPr>
        <w:autoSpaceDE w:val="0"/>
        <w:autoSpaceDN w:val="0"/>
        <w:adjustRightInd w:val="0"/>
        <w:snapToGrid w:val="0"/>
        <w:spacing w:line="560" w:lineRule="exact"/>
        <w:ind w:firstLine="640" w:firstLineChars="200"/>
        <w:textAlignment w:val="baseline"/>
        <w:rPr>
          <w:rFonts w:hint="eastAsia" w:ascii="方正仿宋_GB2312" w:hAnsi="方正仿宋_GB2312" w:eastAsia="方正仿宋_GB2312" w:cs="方正仿宋_GB2312"/>
          <w:color w:val="auto"/>
          <w:sz w:val="32"/>
          <w:szCs w:val="32"/>
          <w:highlight w:val="none"/>
        </w:rPr>
      </w:pPr>
    </w:p>
    <w:p>
      <w:pPr>
        <w:pStyle w:val="2"/>
        <w:rPr>
          <w:rFonts w:hint="eastAsia" w:ascii="方正仿宋_GB2312" w:hAnsi="方正仿宋_GB2312" w:eastAsia="方正仿宋_GB2312" w:cs="方正仿宋_GB2312"/>
          <w:color w:val="auto"/>
          <w:sz w:val="32"/>
          <w:szCs w:val="32"/>
          <w:highlight w:val="none"/>
        </w:rPr>
      </w:pPr>
    </w:p>
    <w:p>
      <w:pPr>
        <w:pStyle w:val="2"/>
        <w:rPr>
          <w:rFonts w:hint="eastAsia" w:ascii="方正仿宋_GB2312" w:hAnsi="方正仿宋_GB2312" w:eastAsia="方正仿宋_GB2312" w:cs="方正仿宋_GB2312"/>
          <w:color w:val="auto"/>
          <w:sz w:val="32"/>
          <w:szCs w:val="32"/>
          <w:highlight w:val="none"/>
        </w:rPr>
      </w:pPr>
    </w:p>
    <w:p>
      <w:pPr>
        <w:pStyle w:val="2"/>
        <w:ind w:firstLine="3520" w:firstLineChars="1100"/>
        <w:rPr>
          <w:rFonts w:hint="eastAsia" w:ascii="Times New Roman" w:eastAsia="仿宋_GB2312" w:cs="Times New Roman"/>
          <w:color w:val="000000"/>
          <w:kern w:val="0"/>
          <w:sz w:val="32"/>
          <w:szCs w:val="32"/>
          <w:shd w:val="clear" w:color="auto" w:fill="auto"/>
          <w:lang w:val="en-US" w:eastAsia="zh-CN" w:bidi="ar-SA"/>
        </w:rPr>
      </w:pPr>
      <w:r>
        <w:rPr>
          <w:rFonts w:hint="eastAsia" w:ascii="Times New Roman" w:eastAsia="仿宋_GB2312" w:cs="Times New Roman"/>
          <w:color w:val="000000"/>
          <w:kern w:val="0"/>
          <w:sz w:val="32"/>
          <w:szCs w:val="32"/>
          <w:shd w:val="clear" w:color="auto" w:fill="auto"/>
          <w:lang w:val="en-US" w:eastAsia="zh-CN" w:bidi="ar-SA"/>
        </w:rPr>
        <w:t>三亚市天涯区凤凰岛灯塔外侧海域</w:t>
      </w:r>
    </w:p>
    <w:p>
      <w:pPr>
        <w:pStyle w:val="2"/>
        <w:ind w:firstLine="2880" w:firstLineChars="900"/>
        <w:rPr>
          <w:rFonts w:hint="eastAsia" w:ascii="仿宋_GB2312" w:hAnsi="仿宋_GB2312" w:eastAsia="仿宋_GB2312" w:cs="仿宋_GB2312"/>
          <w:b w:val="0"/>
          <w:bCs w:val="0"/>
          <w:kern w:val="2"/>
          <w:sz w:val="32"/>
          <w:szCs w:val="32"/>
          <w:lang w:val="en-US" w:eastAsia="zh-CN" w:bidi="ar-SA"/>
        </w:rPr>
      </w:pPr>
      <w:r>
        <w:rPr>
          <w:rFonts w:hint="eastAsia" w:ascii="Times New Roman" w:eastAsia="仿宋_GB2312" w:cs="Times New Roman"/>
          <w:color w:val="000000"/>
          <w:kern w:val="0"/>
          <w:sz w:val="32"/>
          <w:szCs w:val="32"/>
          <w:shd w:val="clear" w:color="auto" w:fill="auto"/>
          <w:lang w:val="en-US" w:eastAsia="zh-CN" w:bidi="ar-SA"/>
        </w:rPr>
        <w:t>“12·18”一般摩托艇相撞事故调查组</w:t>
      </w:r>
    </w:p>
    <w:p>
      <w:pPr>
        <w:pStyle w:val="2"/>
        <w:ind w:firstLine="4480" w:firstLineChars="1400"/>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2026年8月18日</w:t>
      </w:r>
    </w:p>
    <w:sectPr>
      <w:footerReference r:id="rId4" w:type="default"/>
      <w:pgSz w:w="11905" w:h="16840"/>
      <w:pgMar w:top="2098" w:right="1474" w:bottom="1984" w:left="1587"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4D7400C-D7FC-4C0E-B71F-A7E73ACB96F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embedRegular r:id="rId2" w:fontKey="{DEAF75C3-A950-440C-9E3B-1C3B4721BCB1}"/>
  </w:font>
  <w:font w:name="方正小标宋_GBK">
    <w:altName w:val="微软雅黑"/>
    <w:panose1 w:val="00000000000000000000"/>
    <w:charset w:val="86"/>
    <w:family w:val="auto"/>
    <w:pitch w:val="default"/>
    <w:sig w:usb0="00000000" w:usb1="00000000" w:usb2="00082016" w:usb3="00000000" w:csb0="00040001" w:csb1="00000000"/>
    <w:embedRegular r:id="rId3" w:fontKey="{3881262A-6D04-4EB9-BC93-E89445544595}"/>
  </w:font>
  <w:font w:name="方正仿宋_GB2312">
    <w:panose1 w:val="02000000000000000000"/>
    <w:charset w:val="86"/>
    <w:family w:val="auto"/>
    <w:pitch w:val="default"/>
    <w:sig w:usb0="00000000" w:usb1="00000000" w:usb2="00000000" w:usb3="00000000" w:csb0="00000000" w:csb1="00000000"/>
    <w:embedRegular r:id="rId4" w:fontKey="{C9D22770-5AC1-4D90-BD87-9DDA1978A0BD}"/>
  </w:font>
  <w:font w:name="方正仿宋_GBK">
    <w:altName w:val="微软雅黑"/>
    <w:panose1 w:val="00000000000000000000"/>
    <w:charset w:val="86"/>
    <w:family w:val="auto"/>
    <w:pitch w:val="default"/>
    <w:sig w:usb0="00000000" w:usb1="00000000" w:usb2="00082016" w:usb3="00000000" w:csb0="00040001" w:csb1="00000000"/>
    <w:embedRegular r:id="rId5" w:fontKey="{F1894D80-2C35-4E73-BC8D-BF1EA2D1CD90}"/>
  </w:font>
  <w:font w:name="仿宋_GB2312">
    <w:panose1 w:val="02010609030101010101"/>
    <w:charset w:val="86"/>
    <w:family w:val="auto"/>
    <w:pitch w:val="default"/>
    <w:sig w:usb0="00000001" w:usb1="080E0000" w:usb2="00000000" w:usb3="00000000" w:csb0="00040000" w:csb1="00000000"/>
    <w:embedRegular r:id="rId6" w:fontKey="{6B940724-70C4-4FD2-A3C1-E41C2D00C47B}"/>
  </w:font>
  <w:font w:name="楷体_GB2312">
    <w:altName w:val="楷体"/>
    <w:panose1 w:val="02010609030101010101"/>
    <w:charset w:val="86"/>
    <w:family w:val="modern"/>
    <w:pitch w:val="default"/>
    <w:sig w:usb0="00000000" w:usb1="00000000" w:usb2="00000000" w:usb3="00000000" w:csb0="00040000" w:csb1="00000000"/>
    <w:embedRegular r:id="rId7" w:fontKey="{402C0A5D-8A0A-43E0-B5C4-2FD51E14AEED}"/>
  </w:font>
  <w:font w:name="仿宋">
    <w:panose1 w:val="02010609060101010101"/>
    <w:charset w:val="86"/>
    <w:family w:val="modern"/>
    <w:pitch w:val="default"/>
    <w:sig w:usb0="800002BF" w:usb1="38CF7CFA" w:usb2="00000016" w:usb3="00000000" w:csb0="00040001" w:csb1="00000000"/>
    <w:embedRegular r:id="rId8" w:fontKey="{FB037695-4BED-4817-9647-FB6292A8D652}"/>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r>
                            <w:rPr>
                              <w:sz w:val="32"/>
                              <w:szCs w:val="32"/>
                            </w:rPr>
                            <w:t xml:space="preserve"> —</w:t>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B2cvmSsQEA&#10;AE4DAAAOAAAAAAAAAAEAIAAAAB4BAABkcnMvZTJvRG9jLnhtbFBLBQYAAAAABgAGAFkBAABBBQAA&#10;AAA=&#10;">
              <v:fill on="f" focussize="0,0"/>
              <v:stroke on="f"/>
              <v:imagedata o:title=""/>
              <o:lock v:ext="edit" aspectratio="f"/>
              <v:textbox inset="0mm,0mm,0mm,0mm" style="mso-fit-shape-to-text:t;">
                <w:txbxContent>
                  <w:p>
                    <w:pPr>
                      <w:pStyle w:val="9"/>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r>
                      <w:rPr>
                        <w:sz w:val="32"/>
                        <w:szCs w:val="32"/>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12"/>
      </w:pPr>
      <w:r>
        <w:rPr>
          <w:rStyle w:val="21"/>
        </w:rPr>
        <w:t>[</w:t>
      </w:r>
      <w:r>
        <w:rPr>
          <w:rStyle w:val="21"/>
        </w:rPr>
        <w:footnoteRef/>
      </w:r>
      <w:r>
        <w:rPr>
          <w:rStyle w:val="21"/>
        </w:rPr>
        <w:t>]</w:t>
      </w:r>
      <w:r>
        <w:t xml:space="preserve"> </w:t>
      </w:r>
      <w:r>
        <w:rPr>
          <w:rFonts w:hint="eastAsia"/>
        </w:rPr>
        <w:t>《中华人民共和国海上交通安全法》第四十三条：船舶进出港、锚地或者通过桥区水域、海峡、狭水道、重要渔业水域、通航船舶密集的区域、船舶定线区、交通管制区，应当加强瞭望、保持安全航速，并遵守前述区域的特殊航行规则。</w:t>
      </w:r>
    </w:p>
    <w:p>
      <w:pPr>
        <w:pStyle w:val="12"/>
        <w:ind w:firstLine="360" w:firstLineChars="200"/>
      </w:pPr>
      <w:r>
        <w:rPr>
          <w:rFonts w:hint="eastAsia"/>
        </w:rPr>
        <w:t>第四十九条：从事体育、娱乐、演练、试航、科学观测等水上水下活动，应当遵守海上交通安全管理规定；可能影响海上交通安全的，应当提前十个工作日将活动涉及的海域范围报告海事管理机构。</w:t>
      </w:r>
    </w:p>
  </w:footnote>
  <w:footnote w:id="1">
    <w:p>
      <w:pPr>
        <w:pStyle w:val="12"/>
        <w:snapToGrid w:val="0"/>
        <w:rPr>
          <w:rFonts w:hint="eastAsia"/>
        </w:rPr>
      </w:pPr>
      <w:r>
        <w:rPr>
          <w:rStyle w:val="21"/>
        </w:rPr>
        <w:t>[</w:t>
      </w:r>
      <w:r>
        <w:rPr>
          <w:rStyle w:val="21"/>
        </w:rPr>
        <w:footnoteRef/>
      </w:r>
      <w:r>
        <w:rPr>
          <w:rStyle w:val="21"/>
        </w:rPr>
        <w:t>]</w:t>
      </w:r>
      <w:r>
        <w:t xml:space="preserve"> </w:t>
      </w:r>
      <w:r>
        <w:rPr>
          <w:rFonts w:hint="eastAsia"/>
        </w:rPr>
        <w:t>《中华人民共和国安全生产法》（国家主席令第88号）第九十五条</w:t>
      </w:r>
      <w:r>
        <w:rPr>
          <w:rFonts w:hint="eastAsia"/>
          <w:lang w:eastAsia="zh-CN"/>
        </w:rPr>
        <w:t>：</w:t>
      </w:r>
      <w:r>
        <w:rPr>
          <w:rFonts w:hint="eastAsia"/>
        </w:rPr>
        <w:t>生产经营单位的主要负责人未履行本法规定的安全生产管理职责，导致发生生产安全事故的，由应急管理部门依照下列规定处以罚款：</w:t>
      </w:r>
    </w:p>
    <w:p>
      <w:pPr>
        <w:pStyle w:val="12"/>
        <w:snapToGrid w:val="0"/>
        <w:ind w:firstLine="360" w:firstLineChars="200"/>
        <w:rPr>
          <w:rFonts w:hint="eastAsia"/>
        </w:rPr>
      </w:pPr>
      <w:r>
        <w:rPr>
          <w:rFonts w:hint="eastAsia"/>
        </w:rPr>
        <w:t>（一）发生一般事故的，处上一年年收入百分之四十的罚款；</w:t>
      </w:r>
    </w:p>
    <w:p>
      <w:pPr>
        <w:pStyle w:val="12"/>
        <w:snapToGrid w:val="0"/>
        <w:ind w:firstLine="360" w:firstLineChars="200"/>
        <w:rPr>
          <w:rFonts w:hint="eastAsia"/>
        </w:rPr>
      </w:pPr>
      <w:r>
        <w:rPr>
          <w:rFonts w:hint="eastAsia"/>
        </w:rPr>
        <w:t>（二）发生较大事故的，处上一年年收入百分之六十的罚款；</w:t>
      </w:r>
    </w:p>
    <w:p>
      <w:pPr>
        <w:pStyle w:val="12"/>
        <w:snapToGrid w:val="0"/>
        <w:ind w:firstLine="360" w:firstLineChars="200"/>
        <w:rPr>
          <w:rFonts w:hint="eastAsia"/>
        </w:rPr>
      </w:pPr>
      <w:r>
        <w:rPr>
          <w:rFonts w:hint="eastAsia"/>
        </w:rPr>
        <w:t>（三）发生重大事故的，处上一年年收入百分之八十的罚款；</w:t>
      </w:r>
    </w:p>
    <w:p>
      <w:pPr>
        <w:pStyle w:val="12"/>
        <w:snapToGrid w:val="0"/>
        <w:ind w:firstLine="360" w:firstLineChars="200"/>
      </w:pPr>
      <w:r>
        <w:rPr>
          <w:rFonts w:hint="eastAsia"/>
        </w:rPr>
        <w:t>（四）发生特别重大事故的，处上一年年收入百分之一百的罚款。</w:t>
      </w:r>
    </w:p>
  </w:footnote>
  <w:footnote w:id="2">
    <w:p>
      <w:pPr>
        <w:pStyle w:val="12"/>
      </w:pPr>
      <w:r>
        <w:rPr>
          <w:rStyle w:val="21"/>
        </w:rPr>
        <w:t>[</w:t>
      </w:r>
      <w:r>
        <w:rPr>
          <w:rStyle w:val="21"/>
        </w:rPr>
        <w:footnoteRef/>
      </w:r>
      <w:r>
        <w:rPr>
          <w:rStyle w:val="21"/>
        </w:rPr>
        <w:t>]</w:t>
      </w:r>
      <w:r>
        <w:t>《安全生产违法行为行政处罚办法》（国家安全生产监督管理总局令第15号）第六十八条：本办法所称的生产经营单位，是指合法和非法从事生产或者经营活动的基本单元，包括企业法人、不具备企业法人资格的合伙组织、个体工商户和自然人等生产经营主体。</w:t>
      </w:r>
    </w:p>
    <w:p>
      <w:pPr>
        <w:pStyle w:val="12"/>
      </w:pPr>
    </w:p>
  </w:footnote>
  <w:footnote w:id="3">
    <w:p>
      <w:pPr>
        <w:pStyle w:val="12"/>
        <w:snapToGrid w:val="0"/>
        <w:rPr>
          <w:rFonts w:hint="eastAsia"/>
        </w:rPr>
      </w:pPr>
      <w:r>
        <w:rPr>
          <w:rStyle w:val="21"/>
        </w:rPr>
        <w:t>[</w:t>
      </w:r>
      <w:r>
        <w:rPr>
          <w:rStyle w:val="21"/>
        </w:rPr>
        <w:footnoteRef/>
      </w:r>
      <w:r>
        <w:rPr>
          <w:rStyle w:val="21"/>
        </w:rPr>
        <w:t>]</w:t>
      </w:r>
      <w:r>
        <w:t xml:space="preserve"> </w:t>
      </w:r>
      <w:r>
        <w:rPr>
          <w:rFonts w:hint="eastAsia"/>
          <w:lang w:eastAsia="zh-CN"/>
        </w:rPr>
        <w:t>《</w:t>
      </w:r>
      <w:r>
        <w:rPr>
          <w:rFonts w:hint="eastAsia"/>
          <w:lang w:val="en-US" w:eastAsia="zh-CN"/>
        </w:rPr>
        <w:t>海南自由贸易港旅游条例</w:t>
      </w:r>
      <w:r>
        <w:rPr>
          <w:rFonts w:hint="eastAsia"/>
          <w:lang w:eastAsia="zh-CN"/>
        </w:rPr>
        <w:t>》（海南省人民代表大会常务委员会公告第88号）</w:t>
      </w:r>
      <w:r>
        <w:rPr>
          <w:rFonts w:hint="eastAsia"/>
        </w:rPr>
        <w:t>第五十四条</w:t>
      </w:r>
      <w:r>
        <w:rPr>
          <w:rFonts w:hint="eastAsia"/>
          <w:lang w:eastAsia="zh-CN"/>
        </w:rPr>
        <w:t>：</w:t>
      </w:r>
      <w:r>
        <w:rPr>
          <w:rFonts w:hint="eastAsia"/>
        </w:rPr>
        <w:t>经营帆船、帆板、潜水、冲浪、水上摩托艇、沙滩车、直升机、滑翔机、热气球、跳伞、滑翔伞、动力伞、牵引伞、探险等高风险旅游项目，应当遵守以下规定：</w:t>
      </w:r>
    </w:p>
    <w:p>
      <w:pPr>
        <w:pStyle w:val="12"/>
        <w:snapToGrid w:val="0"/>
        <w:ind w:firstLine="360" w:firstLineChars="200"/>
        <w:rPr>
          <w:rFonts w:hint="eastAsia"/>
        </w:rPr>
      </w:pPr>
      <w:r>
        <w:rPr>
          <w:rFonts w:hint="eastAsia"/>
          <w:lang w:eastAsia="zh-CN"/>
        </w:rPr>
        <w:t>（</w:t>
      </w:r>
      <w:r>
        <w:rPr>
          <w:rFonts w:hint="eastAsia"/>
        </w:rPr>
        <w:t>一</w:t>
      </w:r>
      <w:r>
        <w:rPr>
          <w:rFonts w:hint="eastAsia"/>
          <w:lang w:eastAsia="zh-CN"/>
        </w:rPr>
        <w:t>）</w:t>
      </w:r>
      <w:r>
        <w:rPr>
          <w:rFonts w:hint="eastAsia"/>
        </w:rPr>
        <w:t>按照有关规定取得经营许可或者实施强制性标准加备案制度。</w:t>
      </w:r>
    </w:p>
    <w:p>
      <w:pPr>
        <w:pStyle w:val="12"/>
        <w:snapToGrid w:val="0"/>
        <w:ind w:firstLine="360" w:firstLineChars="200"/>
        <w:rPr>
          <w:rFonts w:hint="eastAsia"/>
        </w:rPr>
      </w:pPr>
      <w:r>
        <w:rPr>
          <w:rFonts w:hint="eastAsia"/>
          <w:lang w:eastAsia="zh-CN"/>
        </w:rPr>
        <w:t>（</w:t>
      </w:r>
      <w:r>
        <w:rPr>
          <w:rFonts w:hint="eastAsia"/>
        </w:rPr>
        <w:t>二</w:t>
      </w:r>
      <w:r>
        <w:rPr>
          <w:rFonts w:hint="eastAsia"/>
          <w:lang w:eastAsia="zh-CN"/>
        </w:rPr>
        <w:t>）</w:t>
      </w:r>
      <w:r>
        <w:rPr>
          <w:rFonts w:hint="eastAsia"/>
        </w:rPr>
        <w:t>在划定区域内开展活动。</w:t>
      </w:r>
    </w:p>
    <w:p>
      <w:pPr>
        <w:pStyle w:val="12"/>
        <w:snapToGrid w:val="0"/>
        <w:ind w:firstLine="360" w:firstLineChars="200"/>
        <w:rPr>
          <w:rFonts w:hint="eastAsia"/>
        </w:rPr>
      </w:pPr>
      <w:r>
        <w:rPr>
          <w:rFonts w:hint="eastAsia"/>
          <w:lang w:eastAsia="zh-CN"/>
        </w:rPr>
        <w:t>（</w:t>
      </w:r>
      <w:r>
        <w:rPr>
          <w:rFonts w:hint="eastAsia"/>
        </w:rPr>
        <w:t>三</w:t>
      </w:r>
      <w:r>
        <w:rPr>
          <w:rFonts w:hint="eastAsia"/>
          <w:lang w:eastAsia="zh-CN"/>
        </w:rPr>
        <w:t>）</w:t>
      </w:r>
      <w:r>
        <w:rPr>
          <w:rFonts w:hint="eastAsia"/>
        </w:rPr>
        <w:t>设施、设备应当符合国家有关安全标准</w:t>
      </w:r>
      <w:r>
        <w:rPr>
          <w:rFonts w:hint="eastAsia"/>
          <w:lang w:eastAsia="zh-CN"/>
        </w:rPr>
        <w:t>；</w:t>
      </w:r>
      <w:r>
        <w:rPr>
          <w:rFonts w:hint="eastAsia"/>
        </w:rPr>
        <w:t>按照国家有关规定需要向有关部门办理使用登记手续的，应当办理相应登记手续后方可投入使用</w:t>
      </w:r>
      <w:r>
        <w:rPr>
          <w:rFonts w:hint="eastAsia"/>
          <w:lang w:eastAsia="zh-CN"/>
        </w:rPr>
        <w:t>；</w:t>
      </w:r>
      <w:r>
        <w:rPr>
          <w:rFonts w:hint="eastAsia"/>
        </w:rPr>
        <w:t>设施、设备应当定期依照法律、法规和国家有关规定进行安全检验、监测和评估。</w:t>
      </w:r>
    </w:p>
    <w:p>
      <w:pPr>
        <w:pStyle w:val="12"/>
        <w:snapToGrid w:val="0"/>
        <w:ind w:firstLine="360" w:firstLineChars="200"/>
        <w:rPr>
          <w:rFonts w:hint="eastAsia"/>
        </w:rPr>
      </w:pPr>
      <w:r>
        <w:rPr>
          <w:rFonts w:hint="eastAsia"/>
          <w:lang w:eastAsia="zh-CN"/>
        </w:rPr>
        <w:t>（</w:t>
      </w:r>
      <w:r>
        <w:rPr>
          <w:rFonts w:hint="eastAsia"/>
        </w:rPr>
        <w:t>四</w:t>
      </w:r>
      <w:r>
        <w:rPr>
          <w:rFonts w:hint="eastAsia"/>
          <w:lang w:eastAsia="zh-CN"/>
        </w:rPr>
        <w:t>）</w:t>
      </w:r>
      <w:r>
        <w:rPr>
          <w:rFonts w:hint="eastAsia"/>
        </w:rPr>
        <w:t>具备相应的应急救援设施、设备，为旅游者配备方便快捷的智能定位和紧急呼叫设备。</w:t>
      </w:r>
    </w:p>
    <w:p>
      <w:pPr>
        <w:pStyle w:val="12"/>
        <w:snapToGrid w:val="0"/>
        <w:ind w:firstLine="360" w:firstLineChars="200"/>
        <w:rPr>
          <w:rFonts w:hint="eastAsia"/>
        </w:rPr>
      </w:pPr>
      <w:r>
        <w:rPr>
          <w:rFonts w:hint="eastAsia"/>
          <w:lang w:eastAsia="zh-CN"/>
        </w:rPr>
        <w:t>（</w:t>
      </w:r>
      <w:r>
        <w:rPr>
          <w:rFonts w:hint="eastAsia"/>
        </w:rPr>
        <w:t>五</w:t>
      </w:r>
      <w:r>
        <w:rPr>
          <w:rFonts w:hint="eastAsia"/>
          <w:lang w:eastAsia="zh-CN"/>
        </w:rPr>
        <w:t>）</w:t>
      </w:r>
      <w:r>
        <w:rPr>
          <w:rFonts w:hint="eastAsia"/>
        </w:rPr>
        <w:t>在不影响航行安全的前提下，高风险旅游项目经营者应当通过悬挂、张贴或者喷涂等方式在设施、设备的显著位置公示标识号牌、核定载客数量和搜救电话号码。</w:t>
      </w:r>
    </w:p>
    <w:p>
      <w:pPr>
        <w:pStyle w:val="12"/>
        <w:snapToGrid w:val="0"/>
        <w:ind w:firstLine="360" w:firstLineChars="200"/>
        <w:rPr>
          <w:rFonts w:hint="eastAsia"/>
        </w:rPr>
      </w:pPr>
      <w:r>
        <w:rPr>
          <w:rFonts w:hint="eastAsia"/>
          <w:lang w:eastAsia="zh-CN"/>
        </w:rPr>
        <w:t>（</w:t>
      </w:r>
      <w:r>
        <w:rPr>
          <w:rFonts w:hint="eastAsia"/>
        </w:rPr>
        <w:t>六</w:t>
      </w:r>
      <w:r>
        <w:rPr>
          <w:rFonts w:hint="eastAsia"/>
          <w:lang w:eastAsia="zh-CN"/>
        </w:rPr>
        <w:t>）</w:t>
      </w:r>
      <w:r>
        <w:rPr>
          <w:rFonts w:hint="eastAsia"/>
        </w:rPr>
        <w:t>从业人员应当依法持有符合规定要求的从业资格证明或者技能证书</w:t>
      </w:r>
      <w:r>
        <w:rPr>
          <w:rFonts w:hint="eastAsia"/>
          <w:lang w:eastAsia="zh-CN"/>
        </w:rPr>
        <w:t>；</w:t>
      </w:r>
      <w:r>
        <w:rPr>
          <w:rFonts w:hint="eastAsia"/>
        </w:rPr>
        <w:t>高风险旅游项目经营者应当结合旅游项目维护保养标准、操作规程及使用说明等，定期对从业人员进行培训。</w:t>
      </w:r>
    </w:p>
    <w:p>
      <w:pPr>
        <w:pStyle w:val="12"/>
        <w:snapToGrid w:val="0"/>
        <w:ind w:firstLine="360" w:firstLineChars="200"/>
        <w:rPr>
          <w:rFonts w:hint="eastAsia"/>
        </w:rPr>
      </w:pPr>
      <w:r>
        <w:rPr>
          <w:rFonts w:hint="eastAsia"/>
          <w:lang w:eastAsia="zh-CN"/>
        </w:rPr>
        <w:t>（</w:t>
      </w:r>
      <w:r>
        <w:rPr>
          <w:rFonts w:hint="eastAsia"/>
        </w:rPr>
        <w:t>七</w:t>
      </w:r>
      <w:r>
        <w:rPr>
          <w:rFonts w:hint="eastAsia"/>
          <w:lang w:eastAsia="zh-CN"/>
        </w:rPr>
        <w:t>）</w:t>
      </w:r>
      <w:r>
        <w:rPr>
          <w:rFonts w:hint="eastAsia"/>
        </w:rPr>
        <w:t>高风险旅游项目经营者应当事先明确告知旅游者参加高风险旅游项目的注意事项、参与风险和禁忌事项，并对旅游者进行必要的安全培训。旅游者应当遵守安全操作规程，遇到对人身安全构成威胁的意外情况时，应当按照安全服务人员的指示进行紧急处置。</w:t>
      </w:r>
    </w:p>
    <w:p>
      <w:pPr>
        <w:pStyle w:val="12"/>
        <w:snapToGrid w:val="0"/>
        <w:ind w:firstLine="360" w:firstLineChars="200"/>
        <w:rPr>
          <w:rFonts w:hint="eastAsia"/>
        </w:rPr>
      </w:pPr>
      <w:r>
        <w:rPr>
          <w:rFonts w:hint="eastAsia"/>
          <w:lang w:eastAsia="zh-CN"/>
        </w:rPr>
        <w:t>（</w:t>
      </w:r>
      <w:r>
        <w:rPr>
          <w:rFonts w:hint="eastAsia"/>
        </w:rPr>
        <w:t>八</w:t>
      </w:r>
      <w:r>
        <w:rPr>
          <w:rFonts w:hint="eastAsia"/>
          <w:lang w:eastAsia="zh-CN"/>
        </w:rPr>
        <w:t>）</w:t>
      </w:r>
      <w:r>
        <w:rPr>
          <w:rFonts w:hint="eastAsia"/>
        </w:rPr>
        <w:t>高风险旅游项目经营者应当依法投保相关责任保险，并提示旅游者投保人身意外伤害保险。</w:t>
      </w:r>
    </w:p>
    <w:p>
      <w:pPr>
        <w:pStyle w:val="12"/>
        <w:snapToGrid w:val="0"/>
        <w:ind w:firstLine="360" w:firstLineChars="200"/>
        <w:rPr>
          <w:rFonts w:hint="eastAsia"/>
        </w:rPr>
      </w:pPr>
      <w:r>
        <w:rPr>
          <w:rFonts w:hint="eastAsia"/>
          <w:lang w:eastAsia="zh-CN"/>
        </w:rPr>
        <w:t>（</w:t>
      </w:r>
      <w:r>
        <w:rPr>
          <w:rFonts w:hint="eastAsia"/>
        </w:rPr>
        <w:t>九</w:t>
      </w:r>
      <w:r>
        <w:rPr>
          <w:rFonts w:hint="eastAsia"/>
          <w:lang w:eastAsia="zh-CN"/>
        </w:rPr>
        <w:t>）</w:t>
      </w:r>
      <w:r>
        <w:rPr>
          <w:rFonts w:hint="eastAsia"/>
        </w:rPr>
        <w:t>法律、法规规定的其他要求。</w:t>
      </w:r>
    </w:p>
    <w:p>
      <w:pPr>
        <w:pStyle w:val="12"/>
        <w:snapToGrid w:val="0"/>
        <w:rPr>
          <w:rFonts w:hint="eastAsia"/>
        </w:rPr>
      </w:pPr>
      <w:r>
        <w:rPr>
          <w:rFonts w:hint="eastAsia"/>
        </w:rPr>
        <w:t>市、县、自治县人民政府旅游主管部门应当定期通过政府网站、旅游咨询平台、景区、旅行社等线上线下渠道向社会公布依法取得经营许可或者备案的企业名录，引导旅游者选择合法合规的高风险旅游经营者提供服务。</w:t>
      </w:r>
    </w:p>
    <w:p>
      <w:pPr>
        <w:pStyle w:val="12"/>
        <w:snapToGrid w:val="0"/>
      </w:pPr>
      <w:r>
        <w:rPr>
          <w:rFonts w:hint="eastAsia"/>
        </w:rPr>
        <w:t>法律、法规未明确规定安全监督管理部门的，由高风险旅游项目所在地县级人民政府确定。</w:t>
      </w:r>
    </w:p>
  </w:footnote>
  <w:footnote w:id="4">
    <w:p>
      <w:pPr>
        <w:pStyle w:val="12"/>
      </w:pPr>
      <w:r>
        <w:rPr>
          <w:rStyle w:val="21"/>
        </w:rPr>
        <w:t>[</w:t>
      </w:r>
      <w:r>
        <w:rPr>
          <w:rStyle w:val="21"/>
        </w:rPr>
        <w:footnoteRef/>
      </w:r>
      <w:r>
        <w:rPr>
          <w:rStyle w:val="21"/>
        </w:rPr>
        <w:t>]</w:t>
      </w:r>
      <w:r>
        <w:t xml:space="preserve"> </w:t>
      </w:r>
      <w:r>
        <w:rPr>
          <w:rFonts w:hint="eastAsia"/>
        </w:rPr>
        <w:t>《中华人民共和国安全生产法》（国家主席令第88号）第四十一条：生产经营单位当建立安全风险分级管控制度，按照安全风险分级采取相应的管控措施。</w:t>
      </w:r>
    </w:p>
    <w:p>
      <w:pPr>
        <w:pStyle w:val="12"/>
        <w:ind w:firstLine="360" w:firstLineChars="200"/>
      </w:pPr>
      <w:r>
        <w:rPr>
          <w:rFonts w:hint="eastAsia"/>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pPr>
        <w:pStyle w:val="12"/>
        <w:ind w:firstLine="360" w:firstLineChars="200"/>
      </w:pPr>
      <w:r>
        <w:rPr>
          <w:rFonts w:hint="eastAsia"/>
        </w:rPr>
        <w:t>县级以上地方各级人民政府负有安全生产监督管理职责的部门应当将重大事故隐患纳入相关信息系统，建立健全重大事故隐患治理督办制度，督促生产经营单位消除重大事故隐患。</w:t>
      </w:r>
    </w:p>
  </w:footnote>
  <w:footnote w:id="5">
    <w:p>
      <w:pPr>
        <w:pStyle w:val="12"/>
      </w:pPr>
      <w:r>
        <w:rPr>
          <w:rStyle w:val="21"/>
        </w:rPr>
        <w:t>[</w:t>
      </w:r>
      <w:r>
        <w:rPr>
          <w:rStyle w:val="21"/>
        </w:rPr>
        <w:footnoteRef/>
      </w:r>
      <w:r>
        <w:rPr>
          <w:rStyle w:val="21"/>
        </w:rPr>
        <w:t>]</w:t>
      </w:r>
      <w:r>
        <w:t xml:space="preserve"> </w:t>
      </w:r>
      <w:r>
        <w:rPr>
          <w:rFonts w:hint="eastAsia"/>
        </w:rPr>
        <w:t>《安全生产违法行为行政处罚办法》（中华人民共和国应急管理部令第 18 号）</w:t>
      </w:r>
      <w:r>
        <w:t>第三十七条</w:t>
      </w:r>
      <w:r>
        <w:rPr>
          <w:rFonts w:hint="eastAsia"/>
        </w:rPr>
        <w:t>：</w:t>
      </w:r>
      <w:r>
        <w:t>安全生产行政执法人员在调查或者进行检查时，应当主动向当事人或者有关人员出示执法证件。当事人或者有关人员有权要求安全生产行政执法人员出示执法证件。安全生产行政执法人员不出示执法证件的，当事人或者有关人员有权拒绝接受调查或者检查。</w:t>
      </w:r>
    </w:p>
    <w:p>
      <w:pPr>
        <w:pStyle w:val="12"/>
        <w:ind w:firstLine="360" w:firstLineChars="200"/>
      </w:pPr>
      <w:r>
        <w:t>当事人或者有关人员应当如实回答安全生产行政执法人员的询问，并协助调查或者检查，不得拒绝、阻挠或者提供虚假情况。</w:t>
      </w:r>
    </w:p>
    <w:p>
      <w:pPr>
        <w:pStyle w:val="12"/>
        <w:ind w:firstLine="360" w:firstLineChars="200"/>
      </w:pPr>
      <w:r>
        <w:t>询问或者检查应当制作笔录。笔录应当记载时间、地点、询问和检查情况，并由被询问人、被检查单位和安全生产行政执法人员签名或者盖章；被询问人、被检查单位要求补正的，应当允许。被询问人、被检查单位拒绝签名或者盖章的，安全生产行政执法人员应当在笔录上注明原因并签名。</w:t>
      </w:r>
    </w:p>
  </w:footnote>
  <w:footnote w:id="6">
    <w:p>
      <w:pPr>
        <w:pStyle w:val="12"/>
      </w:pPr>
      <w:r>
        <w:rPr>
          <w:rStyle w:val="21"/>
        </w:rPr>
        <w:t>[</w:t>
      </w:r>
      <w:r>
        <w:rPr>
          <w:rStyle w:val="21"/>
        </w:rPr>
        <w:footnoteRef/>
      </w:r>
      <w:r>
        <w:rPr>
          <w:rStyle w:val="21"/>
        </w:rPr>
        <w:t>]</w:t>
      </w:r>
      <w:r>
        <w:rPr>
          <w:rFonts w:hint="eastAsia"/>
        </w:rPr>
        <w:t>《中华人民共和国安全生产法》（国家主席令第88号）第一百一十四条：发生生产安全事故，对负有责任的生产经营单位除要求其依法承担相应的赔偿等责任外，由应急管理部门依照下列规定处以罚款：</w:t>
      </w:r>
    </w:p>
    <w:p>
      <w:pPr>
        <w:pStyle w:val="12"/>
        <w:ind w:firstLine="360" w:firstLineChars="200"/>
      </w:pPr>
      <w:r>
        <w:rPr>
          <w:rFonts w:hint="eastAsia"/>
        </w:rPr>
        <w:t>（一）发生一般事故的，处三十万元以上一百万元以下的罚款；</w:t>
      </w:r>
    </w:p>
    <w:p>
      <w:pPr>
        <w:pStyle w:val="12"/>
        <w:ind w:firstLine="360" w:firstLineChars="200"/>
      </w:pPr>
      <w:r>
        <w:rPr>
          <w:rFonts w:hint="eastAsia"/>
        </w:rPr>
        <w:t>（二）发生较大事故的，处一百万元以上二百万元以下的罚款；</w:t>
      </w:r>
    </w:p>
    <w:p>
      <w:pPr>
        <w:pStyle w:val="12"/>
        <w:ind w:firstLine="360" w:firstLineChars="200"/>
      </w:pPr>
      <w:r>
        <w:rPr>
          <w:rFonts w:hint="eastAsia"/>
        </w:rPr>
        <w:t>（三）发生重大事故的，处二百万元以上一千万元以下的罚款；</w:t>
      </w:r>
    </w:p>
    <w:p>
      <w:pPr>
        <w:pStyle w:val="12"/>
        <w:ind w:firstLine="360" w:firstLineChars="200"/>
      </w:pPr>
      <w:r>
        <w:rPr>
          <w:rFonts w:hint="eastAsia"/>
        </w:rPr>
        <w:t>（四）发生特别重大事故的，处一千万元以上二千万元以下的罚款。</w:t>
      </w:r>
    </w:p>
    <w:p>
      <w:pPr>
        <w:pStyle w:val="12"/>
        <w:ind w:firstLine="360" w:firstLineChars="200"/>
      </w:pPr>
      <w:r>
        <w:rPr>
          <w:rFonts w:hint="eastAsia"/>
        </w:rPr>
        <w:t>发生生产安全事故，情节特别严重、影响特别恶劣的，应急管理部门可以按照前款罚款数额的二倍以上五倍以下对负有责任的生产经营单位处以罚款。</w:t>
      </w:r>
    </w:p>
  </w:footnote>
  <w:footnote w:id="7">
    <w:p>
      <w:pPr>
        <w:pStyle w:val="12"/>
      </w:pPr>
      <w:r>
        <w:rPr>
          <w:rStyle w:val="21"/>
        </w:rPr>
        <w:t>[</w:t>
      </w:r>
      <w:r>
        <w:rPr>
          <w:rStyle w:val="21"/>
        </w:rPr>
        <w:footnoteRef/>
      </w:r>
      <w:r>
        <w:rPr>
          <w:rStyle w:val="21"/>
        </w:rPr>
        <w:t>]</w:t>
      </w:r>
      <w:r>
        <w:t xml:space="preserve"> 《中华人民共和国刑法》</w:t>
      </w:r>
      <w:r>
        <w:rPr>
          <w:rFonts w:hint="eastAsia"/>
        </w:rPr>
        <w:t>（中华人民共和国国家主席令第83号）</w:t>
      </w:r>
      <w:r>
        <w:t>第一百三十四条</w:t>
      </w:r>
      <w:r>
        <w:rPr>
          <w:rFonts w:hint="eastAsia"/>
        </w:rPr>
        <w:t>：</w:t>
      </w:r>
      <w:r>
        <w:t>【重大责任事故罪】在生产、作业中违反有关安全管理的规定，因而发生重大伤亡事故或者造成其他严重后果的，处3年以下有期徒刑或者拘役；情节特别恶劣的，处3年以上7年以下有期徒刑。</w:t>
      </w:r>
    </w:p>
  </w:footnote>
  <w:footnote w:id="8">
    <w:p>
      <w:pPr>
        <w:pStyle w:val="12"/>
      </w:pPr>
      <w:r>
        <w:rPr>
          <w:rStyle w:val="21"/>
        </w:rPr>
        <w:t>[</w:t>
      </w:r>
      <w:r>
        <w:rPr>
          <w:rStyle w:val="21"/>
        </w:rPr>
        <w:footnoteRef/>
      </w:r>
      <w:r>
        <w:rPr>
          <w:rStyle w:val="21"/>
        </w:rPr>
        <w:t>]</w:t>
      </w:r>
      <w:r>
        <w:t xml:space="preserve"> </w:t>
      </w:r>
      <w:r>
        <w:rPr>
          <w:rFonts w:hint="eastAsia"/>
        </w:rPr>
        <w:t>《海南省涉海涉空体育运动项目管理办法 (试行)》第八条：从事涉海涉空体育运动项目经营活动，经营者应当依法办理市场主体登记，就安全生产、诚信经营作出承诺，并设置治安保卫机构或者配备专职、兼职治安保卫人员。</w:t>
      </w:r>
    </w:p>
    <w:p>
      <w:pPr>
        <w:pStyle w:val="12"/>
        <w:ind w:firstLine="360" w:firstLineChars="200"/>
      </w:pPr>
      <w:r>
        <w:rPr>
          <w:rFonts w:hint="eastAsia"/>
        </w:rPr>
        <w:t>市县体育行政部门或承接该事项审批职能的行政部门对帆船、帆板、海钓、冲浪、水上摩托艇、风筝帆板、沙滩车等体育运动项目实行备案管理。备案管理办法由市县体育行政部门或承接该事项审批职能的行政部门根据实际情况另行制定。</w:t>
      </w:r>
    </w:p>
  </w:footnote>
  <w:footnote w:id="9">
    <w:p>
      <w:pPr>
        <w:pStyle w:val="12"/>
      </w:pPr>
      <w:r>
        <w:rPr>
          <w:rStyle w:val="21"/>
        </w:rPr>
        <w:t>[</w:t>
      </w:r>
      <w:r>
        <w:rPr>
          <w:rStyle w:val="21"/>
        </w:rPr>
        <w:footnoteRef/>
      </w:r>
      <w:r>
        <w:rPr>
          <w:rStyle w:val="21"/>
        </w:rPr>
        <w:t>]</w:t>
      </w:r>
      <w:r>
        <w:t xml:space="preserve"> </w:t>
      </w:r>
      <w:r>
        <w:rPr>
          <w:rFonts w:hint="eastAsia"/>
        </w:rPr>
        <w:t>《三亚市水上旅游项目促进和管理办法》（三府规〔2021〕17号）第四条：在本市依法办理商事登记且进行事后材料备案的市场主体可在我市行政区域海域规划和水域规划内依法依规经营水上旅游项目。未办理商事登记和进行事后材料备案的个人或组织（无照）不得以市场主体名义在我市行政区域内经营水上旅游项目。</w:t>
      </w:r>
    </w:p>
  </w:footnote>
  <w:footnote w:id="10">
    <w:p>
      <w:pPr>
        <w:pStyle w:val="12"/>
      </w:pPr>
      <w:r>
        <w:rPr>
          <w:rStyle w:val="21"/>
        </w:rPr>
        <w:t>[</w:t>
      </w:r>
      <w:r>
        <w:rPr>
          <w:rStyle w:val="21"/>
        </w:rPr>
        <w:footnoteRef/>
      </w:r>
      <w:r>
        <w:rPr>
          <w:rStyle w:val="21"/>
        </w:rPr>
        <w:t>]</w:t>
      </w:r>
      <w:r>
        <w:t xml:space="preserve"> </w:t>
      </w:r>
      <w:r>
        <w:rPr>
          <w:rFonts w:hint="eastAsia"/>
        </w:rPr>
        <w:t>《中华人民共和国安全生产法》（国家主席令第88号）</w:t>
      </w:r>
      <w:r>
        <w:t>第二十一条</w:t>
      </w:r>
      <w:r>
        <w:rPr>
          <w:rFonts w:hint="eastAsia"/>
        </w:rPr>
        <w:t>：</w:t>
      </w:r>
      <w:r>
        <w:t>生产经营单位的主要负责人对本单位安全生产工作负有下列职责</w:t>
      </w:r>
      <w:r>
        <w:rPr>
          <w:rFonts w:hint="eastAsia"/>
        </w:rPr>
        <w:t>：</w:t>
      </w:r>
    </w:p>
    <w:p>
      <w:pPr>
        <w:pStyle w:val="12"/>
        <w:ind w:firstLine="360" w:firstLineChars="200"/>
      </w:pPr>
      <w:r>
        <w:t>（一）建立健全并落实本单位全员安全生产责任制，加强安全生产标准化建设；</w:t>
      </w:r>
    </w:p>
    <w:p>
      <w:pPr>
        <w:pStyle w:val="12"/>
        <w:ind w:firstLine="360" w:firstLineChars="200"/>
      </w:pPr>
      <w:r>
        <w:t>（二）组织制定并实施本单位安全生产规章制度和操作规程；</w:t>
      </w:r>
    </w:p>
    <w:p>
      <w:pPr>
        <w:pStyle w:val="12"/>
        <w:ind w:firstLine="360" w:firstLineChars="200"/>
      </w:pPr>
      <w:r>
        <w:t>（三）组织制定并实施本单位安全生产教育和培训计划；</w:t>
      </w:r>
    </w:p>
    <w:p>
      <w:pPr>
        <w:pStyle w:val="12"/>
        <w:ind w:firstLine="360" w:firstLineChars="200"/>
      </w:pPr>
      <w:r>
        <w:t>（四）保证本单位安全生产投入的有效实施；</w:t>
      </w:r>
    </w:p>
    <w:p>
      <w:pPr>
        <w:pStyle w:val="12"/>
        <w:ind w:firstLine="360" w:firstLineChars="200"/>
      </w:pPr>
      <w:r>
        <w:t>（五）组织建立并落实安全风险分级管控和隐患排查治理双重预防工作机制，督促、检查本单位的安全生产工作，及时消除生产安全事故隐患；</w:t>
      </w:r>
    </w:p>
    <w:p>
      <w:pPr>
        <w:pStyle w:val="12"/>
        <w:ind w:firstLine="360" w:firstLineChars="200"/>
      </w:pPr>
      <w:r>
        <w:t>（六）组织制定并实施本单位的生产安全事故应急救援预案；</w:t>
      </w:r>
    </w:p>
    <w:p>
      <w:pPr>
        <w:pStyle w:val="12"/>
        <w:ind w:firstLine="360" w:firstLineChars="200"/>
      </w:pPr>
      <w:r>
        <w:t>（七）及时、如实报告生产安全事故。</w:t>
      </w:r>
    </w:p>
    <w:p>
      <w:pPr>
        <w:pStyle w:val="12"/>
      </w:pPr>
    </w:p>
  </w:footnote>
  <w:footnote w:id="11">
    <w:p>
      <w:pPr>
        <w:pStyle w:val="12"/>
      </w:pPr>
      <w:r>
        <w:rPr>
          <w:rStyle w:val="21"/>
        </w:rPr>
        <w:t>[</w:t>
      </w:r>
      <w:r>
        <w:rPr>
          <w:rStyle w:val="21"/>
        </w:rPr>
        <w:footnoteRef/>
      </w:r>
      <w:r>
        <w:rPr>
          <w:rStyle w:val="21"/>
        </w:rPr>
        <w:t>]</w:t>
      </w:r>
      <w:r>
        <w:t xml:space="preserve"> </w:t>
      </w:r>
      <w:r>
        <w:rPr>
          <w:rFonts w:hint="eastAsia"/>
        </w:rPr>
        <w:t>《中华人民共和国安全生产法》（国家主席令第88号）第四十九条：生产经营单位不得将生产经营项目、场所、设备发包或者出租给不具备安全生产条件或者相应资质的单位或者个人。</w:t>
      </w:r>
    </w:p>
    <w:p>
      <w:pPr>
        <w:pStyle w:val="12"/>
        <w:ind w:firstLine="360" w:firstLineChars="200"/>
      </w:pPr>
      <w:r>
        <w:rPr>
          <w:rFonts w:hint="eastAsia"/>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pPr>
        <w:pStyle w:val="12"/>
        <w:ind w:firstLine="360" w:firstLineChars="200"/>
      </w:pPr>
      <w:r>
        <w:rPr>
          <w:rFonts w:hint="eastAsia"/>
        </w:rPr>
        <w:t>矿山、金属冶炼建设项目和用于生产、储存、装卸危险物品的建设项目的施工单位应当加强对施工项目的安全管理，不得倒卖、出租、出借、挂靠或者以其他形式非法转让施工资质，不得将其承包的全部建设工程转包给第三人或者将其承包的全部建设工程支解以后以分包的名义分别转包给第三人，不得将工程分包给不具备相应资质条件的单位。</w:t>
      </w:r>
    </w:p>
  </w:footnote>
  <w:footnote w:id="12">
    <w:p>
      <w:pPr>
        <w:pStyle w:val="12"/>
      </w:pPr>
      <w:r>
        <w:rPr>
          <w:rStyle w:val="21"/>
        </w:rPr>
        <w:t>[</w:t>
      </w:r>
      <w:r>
        <w:rPr>
          <w:rStyle w:val="21"/>
        </w:rPr>
        <w:footnoteRef/>
      </w:r>
      <w:r>
        <w:rPr>
          <w:rStyle w:val="21"/>
        </w:rPr>
        <w:t>]</w:t>
      </w:r>
      <w:r>
        <w:t xml:space="preserve"> </w:t>
      </w:r>
      <w:r>
        <w:rPr>
          <w:rFonts w:hint="eastAsia"/>
        </w:rPr>
        <w:t>《中华人民共和国安全生产法》（国家主席令第88号）第一百零三条：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pPr>
        <w:pStyle w:val="12"/>
        <w:ind w:firstLine="360" w:firstLineChars="200"/>
      </w:pPr>
      <w:r>
        <w:rPr>
          <w:rFonts w:hint="eastAsia"/>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p>
      <w:pPr>
        <w:pStyle w:val="12"/>
        <w:ind w:firstLine="360" w:firstLineChars="200"/>
      </w:pPr>
      <w:r>
        <w:rPr>
          <w:rFonts w:hint="eastAsia"/>
        </w:rPr>
        <w:t>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3"/>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1FD"/>
    <w:rsid w:val="00055063"/>
    <w:rsid w:val="0006581B"/>
    <w:rsid w:val="00076E33"/>
    <w:rsid w:val="00092509"/>
    <w:rsid w:val="000B5833"/>
    <w:rsid w:val="000B72BA"/>
    <w:rsid w:val="00112CAC"/>
    <w:rsid w:val="0013255A"/>
    <w:rsid w:val="001509B1"/>
    <w:rsid w:val="001E49AD"/>
    <w:rsid w:val="00254C73"/>
    <w:rsid w:val="0028317A"/>
    <w:rsid w:val="002A7B52"/>
    <w:rsid w:val="002D10C3"/>
    <w:rsid w:val="002E53C3"/>
    <w:rsid w:val="00313B23"/>
    <w:rsid w:val="003F2EA3"/>
    <w:rsid w:val="004077A9"/>
    <w:rsid w:val="00417EF4"/>
    <w:rsid w:val="004770F4"/>
    <w:rsid w:val="00483A96"/>
    <w:rsid w:val="004D7CCF"/>
    <w:rsid w:val="004E61FD"/>
    <w:rsid w:val="005649B8"/>
    <w:rsid w:val="005C3B3F"/>
    <w:rsid w:val="00671041"/>
    <w:rsid w:val="006B1897"/>
    <w:rsid w:val="006B4176"/>
    <w:rsid w:val="00701FB6"/>
    <w:rsid w:val="00755DF0"/>
    <w:rsid w:val="007A1D8E"/>
    <w:rsid w:val="007D2815"/>
    <w:rsid w:val="0082213F"/>
    <w:rsid w:val="008258E0"/>
    <w:rsid w:val="008972C0"/>
    <w:rsid w:val="008D32D4"/>
    <w:rsid w:val="009A341C"/>
    <w:rsid w:val="009D11E7"/>
    <w:rsid w:val="009D1437"/>
    <w:rsid w:val="009D4E06"/>
    <w:rsid w:val="00A97A76"/>
    <w:rsid w:val="00AA478C"/>
    <w:rsid w:val="00B00F84"/>
    <w:rsid w:val="00B959FA"/>
    <w:rsid w:val="00CA1EFD"/>
    <w:rsid w:val="00D12A23"/>
    <w:rsid w:val="00D1676B"/>
    <w:rsid w:val="00D63360"/>
    <w:rsid w:val="00EC4C34"/>
    <w:rsid w:val="00FA062A"/>
    <w:rsid w:val="00FA7C71"/>
    <w:rsid w:val="01211E2A"/>
    <w:rsid w:val="012515C4"/>
    <w:rsid w:val="012F2443"/>
    <w:rsid w:val="012F2464"/>
    <w:rsid w:val="01347A59"/>
    <w:rsid w:val="014E0820"/>
    <w:rsid w:val="01592745"/>
    <w:rsid w:val="017C79C0"/>
    <w:rsid w:val="017F7F90"/>
    <w:rsid w:val="01C27C15"/>
    <w:rsid w:val="0247556A"/>
    <w:rsid w:val="02521959"/>
    <w:rsid w:val="0264611C"/>
    <w:rsid w:val="028916DF"/>
    <w:rsid w:val="02990FD0"/>
    <w:rsid w:val="02C554D8"/>
    <w:rsid w:val="02DA7611"/>
    <w:rsid w:val="02FF5E45"/>
    <w:rsid w:val="0316724E"/>
    <w:rsid w:val="03183FDB"/>
    <w:rsid w:val="036F2FCB"/>
    <w:rsid w:val="0370464D"/>
    <w:rsid w:val="039075DE"/>
    <w:rsid w:val="03AC38D7"/>
    <w:rsid w:val="03D20992"/>
    <w:rsid w:val="03E312C3"/>
    <w:rsid w:val="040179BD"/>
    <w:rsid w:val="040D0D5F"/>
    <w:rsid w:val="042C3965"/>
    <w:rsid w:val="04402271"/>
    <w:rsid w:val="04BD0CD5"/>
    <w:rsid w:val="04CC7C6B"/>
    <w:rsid w:val="04D01847"/>
    <w:rsid w:val="04EB2782"/>
    <w:rsid w:val="052F58F4"/>
    <w:rsid w:val="05341DD6"/>
    <w:rsid w:val="055A1E59"/>
    <w:rsid w:val="05687CD1"/>
    <w:rsid w:val="0585028E"/>
    <w:rsid w:val="058938A1"/>
    <w:rsid w:val="05A55D49"/>
    <w:rsid w:val="05C76307"/>
    <w:rsid w:val="05C80770"/>
    <w:rsid w:val="05D76A8A"/>
    <w:rsid w:val="05FF4B65"/>
    <w:rsid w:val="064504DC"/>
    <w:rsid w:val="0648365F"/>
    <w:rsid w:val="066E7569"/>
    <w:rsid w:val="067F52D3"/>
    <w:rsid w:val="0683550F"/>
    <w:rsid w:val="06905621"/>
    <w:rsid w:val="06D56613"/>
    <w:rsid w:val="06DF5209"/>
    <w:rsid w:val="070E7162"/>
    <w:rsid w:val="072D037E"/>
    <w:rsid w:val="07565116"/>
    <w:rsid w:val="076D15CF"/>
    <w:rsid w:val="077478D3"/>
    <w:rsid w:val="078D4BA5"/>
    <w:rsid w:val="079F5DD4"/>
    <w:rsid w:val="07AA03DF"/>
    <w:rsid w:val="07E86EA8"/>
    <w:rsid w:val="07F06B4D"/>
    <w:rsid w:val="084D1FE2"/>
    <w:rsid w:val="0898267C"/>
    <w:rsid w:val="08A72B38"/>
    <w:rsid w:val="08BF128A"/>
    <w:rsid w:val="08C90A87"/>
    <w:rsid w:val="08CA35E8"/>
    <w:rsid w:val="08D31AD4"/>
    <w:rsid w:val="09310382"/>
    <w:rsid w:val="0935611C"/>
    <w:rsid w:val="096040A1"/>
    <w:rsid w:val="098552F6"/>
    <w:rsid w:val="09AA0A14"/>
    <w:rsid w:val="09AB63DF"/>
    <w:rsid w:val="09C15C02"/>
    <w:rsid w:val="09C93016"/>
    <w:rsid w:val="09D516AE"/>
    <w:rsid w:val="09E54A69"/>
    <w:rsid w:val="09EB2B51"/>
    <w:rsid w:val="0A115858"/>
    <w:rsid w:val="0A3D1C75"/>
    <w:rsid w:val="0A4223C1"/>
    <w:rsid w:val="0A447FBC"/>
    <w:rsid w:val="0A7143CA"/>
    <w:rsid w:val="0A97554D"/>
    <w:rsid w:val="0ADE3BB0"/>
    <w:rsid w:val="0AEF6941"/>
    <w:rsid w:val="0AF3628F"/>
    <w:rsid w:val="0B016BFE"/>
    <w:rsid w:val="0B0F0E17"/>
    <w:rsid w:val="0B261F6D"/>
    <w:rsid w:val="0B732F2C"/>
    <w:rsid w:val="0B9A670B"/>
    <w:rsid w:val="0B9F21D3"/>
    <w:rsid w:val="0BB0283D"/>
    <w:rsid w:val="0BC55049"/>
    <w:rsid w:val="0BE61D6A"/>
    <w:rsid w:val="0C2A595C"/>
    <w:rsid w:val="0C434FF4"/>
    <w:rsid w:val="0C545549"/>
    <w:rsid w:val="0C721AFB"/>
    <w:rsid w:val="0C762CD4"/>
    <w:rsid w:val="0C882A07"/>
    <w:rsid w:val="0C9358E9"/>
    <w:rsid w:val="0CA02447"/>
    <w:rsid w:val="0CAD06C0"/>
    <w:rsid w:val="0CB02A4E"/>
    <w:rsid w:val="0CC9608A"/>
    <w:rsid w:val="0CE42990"/>
    <w:rsid w:val="0CE81EF4"/>
    <w:rsid w:val="0CE9383E"/>
    <w:rsid w:val="0CFD33F5"/>
    <w:rsid w:val="0D10137A"/>
    <w:rsid w:val="0D314E4D"/>
    <w:rsid w:val="0D646FD0"/>
    <w:rsid w:val="0D6C2329"/>
    <w:rsid w:val="0D72469C"/>
    <w:rsid w:val="0DB16D12"/>
    <w:rsid w:val="0DBA3A60"/>
    <w:rsid w:val="0E54720D"/>
    <w:rsid w:val="0EAC00FF"/>
    <w:rsid w:val="0EB421D9"/>
    <w:rsid w:val="0ED73622"/>
    <w:rsid w:val="0EDB7766"/>
    <w:rsid w:val="0EFC3981"/>
    <w:rsid w:val="0F3656AF"/>
    <w:rsid w:val="0F3B2377"/>
    <w:rsid w:val="0F5E3A6B"/>
    <w:rsid w:val="0F8E7286"/>
    <w:rsid w:val="0FB1460B"/>
    <w:rsid w:val="0FB8731D"/>
    <w:rsid w:val="0FC53C7F"/>
    <w:rsid w:val="0FCE15C0"/>
    <w:rsid w:val="0FE8213B"/>
    <w:rsid w:val="101058AD"/>
    <w:rsid w:val="102D1FFD"/>
    <w:rsid w:val="104D4694"/>
    <w:rsid w:val="1059141B"/>
    <w:rsid w:val="107B4E12"/>
    <w:rsid w:val="10857989"/>
    <w:rsid w:val="1091203B"/>
    <w:rsid w:val="10D502D6"/>
    <w:rsid w:val="10DB51CF"/>
    <w:rsid w:val="10E16B8A"/>
    <w:rsid w:val="11005262"/>
    <w:rsid w:val="111676F8"/>
    <w:rsid w:val="114C73CD"/>
    <w:rsid w:val="11651569"/>
    <w:rsid w:val="116D126A"/>
    <w:rsid w:val="117246A9"/>
    <w:rsid w:val="11854E06"/>
    <w:rsid w:val="119F0F1F"/>
    <w:rsid w:val="11BF59BB"/>
    <w:rsid w:val="11DE2F5E"/>
    <w:rsid w:val="11DE5594"/>
    <w:rsid w:val="122C3E15"/>
    <w:rsid w:val="122D76E7"/>
    <w:rsid w:val="12650CBC"/>
    <w:rsid w:val="12675778"/>
    <w:rsid w:val="127F20CD"/>
    <w:rsid w:val="128270E6"/>
    <w:rsid w:val="1291462E"/>
    <w:rsid w:val="12A00DD3"/>
    <w:rsid w:val="12AA722E"/>
    <w:rsid w:val="130C6140"/>
    <w:rsid w:val="13207E3D"/>
    <w:rsid w:val="134753CA"/>
    <w:rsid w:val="134A6058"/>
    <w:rsid w:val="135A1732"/>
    <w:rsid w:val="13A20DBA"/>
    <w:rsid w:val="13A74B4C"/>
    <w:rsid w:val="13C604F9"/>
    <w:rsid w:val="13E14009"/>
    <w:rsid w:val="13EA27D0"/>
    <w:rsid w:val="13FE7E2C"/>
    <w:rsid w:val="1404150D"/>
    <w:rsid w:val="143A6CDD"/>
    <w:rsid w:val="144E5135"/>
    <w:rsid w:val="14576BE5"/>
    <w:rsid w:val="14735C46"/>
    <w:rsid w:val="147A61A9"/>
    <w:rsid w:val="148B307B"/>
    <w:rsid w:val="149C0A29"/>
    <w:rsid w:val="14A93268"/>
    <w:rsid w:val="14C06253"/>
    <w:rsid w:val="14C76DBB"/>
    <w:rsid w:val="14F10CF6"/>
    <w:rsid w:val="15127C5A"/>
    <w:rsid w:val="15316332"/>
    <w:rsid w:val="156E30E2"/>
    <w:rsid w:val="15BE3826"/>
    <w:rsid w:val="15C03212"/>
    <w:rsid w:val="15DD5B72"/>
    <w:rsid w:val="15F64E85"/>
    <w:rsid w:val="160E7877"/>
    <w:rsid w:val="1611740E"/>
    <w:rsid w:val="16323116"/>
    <w:rsid w:val="164F0B7E"/>
    <w:rsid w:val="166A66D0"/>
    <w:rsid w:val="166C5148"/>
    <w:rsid w:val="16832BBD"/>
    <w:rsid w:val="16EB2E7D"/>
    <w:rsid w:val="171750B3"/>
    <w:rsid w:val="177E15D6"/>
    <w:rsid w:val="17832749"/>
    <w:rsid w:val="17F154AB"/>
    <w:rsid w:val="17F5134F"/>
    <w:rsid w:val="17F81389"/>
    <w:rsid w:val="18020085"/>
    <w:rsid w:val="180B1483"/>
    <w:rsid w:val="1831033B"/>
    <w:rsid w:val="184F492A"/>
    <w:rsid w:val="186364ED"/>
    <w:rsid w:val="1888514B"/>
    <w:rsid w:val="188D6115"/>
    <w:rsid w:val="18A72ACF"/>
    <w:rsid w:val="19024E15"/>
    <w:rsid w:val="19185FA9"/>
    <w:rsid w:val="192D0557"/>
    <w:rsid w:val="19575C3B"/>
    <w:rsid w:val="19595E57"/>
    <w:rsid w:val="195B5257"/>
    <w:rsid w:val="19907705"/>
    <w:rsid w:val="19A55097"/>
    <w:rsid w:val="19A57506"/>
    <w:rsid w:val="19C01A32"/>
    <w:rsid w:val="19CB76F3"/>
    <w:rsid w:val="19F268EE"/>
    <w:rsid w:val="1A306C84"/>
    <w:rsid w:val="1A362EBB"/>
    <w:rsid w:val="1A6D6122"/>
    <w:rsid w:val="1A8707A2"/>
    <w:rsid w:val="1AD05CA5"/>
    <w:rsid w:val="1ADA169B"/>
    <w:rsid w:val="1AE4406F"/>
    <w:rsid w:val="1AE94FB9"/>
    <w:rsid w:val="1B417B88"/>
    <w:rsid w:val="1B530478"/>
    <w:rsid w:val="1B6C2C88"/>
    <w:rsid w:val="1B7C65B2"/>
    <w:rsid w:val="1B7D7150"/>
    <w:rsid w:val="1BBC061B"/>
    <w:rsid w:val="1BD01CD5"/>
    <w:rsid w:val="1C1751AC"/>
    <w:rsid w:val="1C2F20FA"/>
    <w:rsid w:val="1C682A83"/>
    <w:rsid w:val="1C80425C"/>
    <w:rsid w:val="1CA53161"/>
    <w:rsid w:val="1CAA10FA"/>
    <w:rsid w:val="1CAA4BB8"/>
    <w:rsid w:val="1CB87339"/>
    <w:rsid w:val="1CC0630A"/>
    <w:rsid w:val="1CC96E50"/>
    <w:rsid w:val="1CCC5875"/>
    <w:rsid w:val="1CD87B38"/>
    <w:rsid w:val="1CE367E1"/>
    <w:rsid w:val="1CE76C97"/>
    <w:rsid w:val="1CF33ECD"/>
    <w:rsid w:val="1CFC382C"/>
    <w:rsid w:val="1D091942"/>
    <w:rsid w:val="1D3B700C"/>
    <w:rsid w:val="1D712141"/>
    <w:rsid w:val="1D73135F"/>
    <w:rsid w:val="1D7B5D23"/>
    <w:rsid w:val="1D8E7FD9"/>
    <w:rsid w:val="1DA43419"/>
    <w:rsid w:val="1DE43DC3"/>
    <w:rsid w:val="1DE43E85"/>
    <w:rsid w:val="1DFB128B"/>
    <w:rsid w:val="1DFE2B43"/>
    <w:rsid w:val="1DFE521F"/>
    <w:rsid w:val="1E01086B"/>
    <w:rsid w:val="1E12759A"/>
    <w:rsid w:val="1E2B2E95"/>
    <w:rsid w:val="1E2E3E10"/>
    <w:rsid w:val="1E3A4F34"/>
    <w:rsid w:val="1E3E561C"/>
    <w:rsid w:val="1E5C12DD"/>
    <w:rsid w:val="1E687ECB"/>
    <w:rsid w:val="1E763007"/>
    <w:rsid w:val="1EAD74D5"/>
    <w:rsid w:val="1EDF0BAD"/>
    <w:rsid w:val="1EF83A1C"/>
    <w:rsid w:val="1F100D66"/>
    <w:rsid w:val="1F2A002B"/>
    <w:rsid w:val="1F2C302D"/>
    <w:rsid w:val="1F435D57"/>
    <w:rsid w:val="1F4E7AE0"/>
    <w:rsid w:val="1F737695"/>
    <w:rsid w:val="1F746DF7"/>
    <w:rsid w:val="1F875CE4"/>
    <w:rsid w:val="1FA6791C"/>
    <w:rsid w:val="1FC2709B"/>
    <w:rsid w:val="1FCC29C7"/>
    <w:rsid w:val="1FD560AD"/>
    <w:rsid w:val="1FEA0742"/>
    <w:rsid w:val="1FF93EF0"/>
    <w:rsid w:val="201871DD"/>
    <w:rsid w:val="204D5FEA"/>
    <w:rsid w:val="20967991"/>
    <w:rsid w:val="20A51982"/>
    <w:rsid w:val="20E352F6"/>
    <w:rsid w:val="210F0963"/>
    <w:rsid w:val="21423675"/>
    <w:rsid w:val="21460A6F"/>
    <w:rsid w:val="217E4766"/>
    <w:rsid w:val="21847512"/>
    <w:rsid w:val="21D73792"/>
    <w:rsid w:val="21FE5E18"/>
    <w:rsid w:val="221845EB"/>
    <w:rsid w:val="22525F24"/>
    <w:rsid w:val="22765384"/>
    <w:rsid w:val="22AC4A6F"/>
    <w:rsid w:val="22C43577"/>
    <w:rsid w:val="22D50B4C"/>
    <w:rsid w:val="22F94D29"/>
    <w:rsid w:val="2302130E"/>
    <w:rsid w:val="2330414C"/>
    <w:rsid w:val="2346771A"/>
    <w:rsid w:val="234A4748"/>
    <w:rsid w:val="235A4990"/>
    <w:rsid w:val="237422B9"/>
    <w:rsid w:val="238A63D9"/>
    <w:rsid w:val="23A423C5"/>
    <w:rsid w:val="23A859DC"/>
    <w:rsid w:val="23D5257E"/>
    <w:rsid w:val="23DB4673"/>
    <w:rsid w:val="23DF33FD"/>
    <w:rsid w:val="24045981"/>
    <w:rsid w:val="246A731A"/>
    <w:rsid w:val="247423AA"/>
    <w:rsid w:val="249917FE"/>
    <w:rsid w:val="24D769F3"/>
    <w:rsid w:val="250361C2"/>
    <w:rsid w:val="252E17BB"/>
    <w:rsid w:val="25353C3D"/>
    <w:rsid w:val="253634F0"/>
    <w:rsid w:val="254C7941"/>
    <w:rsid w:val="25556F4C"/>
    <w:rsid w:val="256E2A35"/>
    <w:rsid w:val="259F0C39"/>
    <w:rsid w:val="25A14E0E"/>
    <w:rsid w:val="25AC5AD9"/>
    <w:rsid w:val="25CD42FA"/>
    <w:rsid w:val="25FD4226"/>
    <w:rsid w:val="25FF7EDD"/>
    <w:rsid w:val="261C6242"/>
    <w:rsid w:val="262818BC"/>
    <w:rsid w:val="262F6C40"/>
    <w:rsid w:val="264439EB"/>
    <w:rsid w:val="264C3870"/>
    <w:rsid w:val="267C0A39"/>
    <w:rsid w:val="26BC7A25"/>
    <w:rsid w:val="26CD39E1"/>
    <w:rsid w:val="26D1611C"/>
    <w:rsid w:val="26EA00EF"/>
    <w:rsid w:val="27047ACB"/>
    <w:rsid w:val="271816D0"/>
    <w:rsid w:val="2736311C"/>
    <w:rsid w:val="27363334"/>
    <w:rsid w:val="273A27C2"/>
    <w:rsid w:val="274A3287"/>
    <w:rsid w:val="276E3E95"/>
    <w:rsid w:val="276F09F0"/>
    <w:rsid w:val="27963359"/>
    <w:rsid w:val="27A91D02"/>
    <w:rsid w:val="27B84691"/>
    <w:rsid w:val="280C73D5"/>
    <w:rsid w:val="281C07C0"/>
    <w:rsid w:val="283A6E54"/>
    <w:rsid w:val="283F090E"/>
    <w:rsid w:val="2844321E"/>
    <w:rsid w:val="28487E9D"/>
    <w:rsid w:val="284D4DD9"/>
    <w:rsid w:val="285A2C3A"/>
    <w:rsid w:val="28673056"/>
    <w:rsid w:val="28722A91"/>
    <w:rsid w:val="28932C71"/>
    <w:rsid w:val="289F5EC7"/>
    <w:rsid w:val="289F7303"/>
    <w:rsid w:val="28A80261"/>
    <w:rsid w:val="28A85B75"/>
    <w:rsid w:val="28AD1BB7"/>
    <w:rsid w:val="28C92C72"/>
    <w:rsid w:val="28FA3D43"/>
    <w:rsid w:val="293E0BC6"/>
    <w:rsid w:val="29451F54"/>
    <w:rsid w:val="294A30C6"/>
    <w:rsid w:val="296B2895"/>
    <w:rsid w:val="2979555D"/>
    <w:rsid w:val="29BA1F38"/>
    <w:rsid w:val="29C83EDE"/>
    <w:rsid w:val="29CA11E3"/>
    <w:rsid w:val="29D84CDA"/>
    <w:rsid w:val="2A10246D"/>
    <w:rsid w:val="2A3E2C5C"/>
    <w:rsid w:val="2A4C62BB"/>
    <w:rsid w:val="2A783EF9"/>
    <w:rsid w:val="2A7B5E29"/>
    <w:rsid w:val="2A8B71DD"/>
    <w:rsid w:val="2AAD225E"/>
    <w:rsid w:val="2AD91DF4"/>
    <w:rsid w:val="2B08564D"/>
    <w:rsid w:val="2B2A3A2C"/>
    <w:rsid w:val="2B443F7C"/>
    <w:rsid w:val="2BAC0068"/>
    <w:rsid w:val="2BB344AA"/>
    <w:rsid w:val="2BBD72B7"/>
    <w:rsid w:val="2BBF22B9"/>
    <w:rsid w:val="2BD31A99"/>
    <w:rsid w:val="2BE55328"/>
    <w:rsid w:val="2BEE0681"/>
    <w:rsid w:val="2BF17288"/>
    <w:rsid w:val="2BF51A0F"/>
    <w:rsid w:val="2BF67536"/>
    <w:rsid w:val="2C2A71DF"/>
    <w:rsid w:val="2C324A12"/>
    <w:rsid w:val="2C380380"/>
    <w:rsid w:val="2C4575D6"/>
    <w:rsid w:val="2C4E2ECE"/>
    <w:rsid w:val="2C814110"/>
    <w:rsid w:val="2C9336A5"/>
    <w:rsid w:val="2CB201D5"/>
    <w:rsid w:val="2CD86C3B"/>
    <w:rsid w:val="2CFC0B7C"/>
    <w:rsid w:val="2CFE6F5D"/>
    <w:rsid w:val="2D084FCE"/>
    <w:rsid w:val="2D093328"/>
    <w:rsid w:val="2D546C4E"/>
    <w:rsid w:val="2D69133D"/>
    <w:rsid w:val="2DC124E3"/>
    <w:rsid w:val="2DF15178"/>
    <w:rsid w:val="2E6A74B4"/>
    <w:rsid w:val="2E725599"/>
    <w:rsid w:val="2E876B6B"/>
    <w:rsid w:val="2E8C23C9"/>
    <w:rsid w:val="2E9D6A09"/>
    <w:rsid w:val="2EBF00B3"/>
    <w:rsid w:val="2ECC528C"/>
    <w:rsid w:val="2EFA0162"/>
    <w:rsid w:val="2F0001B4"/>
    <w:rsid w:val="2F0973BB"/>
    <w:rsid w:val="2F0C0493"/>
    <w:rsid w:val="2F2E6FE6"/>
    <w:rsid w:val="2F4D1B62"/>
    <w:rsid w:val="2F622DE6"/>
    <w:rsid w:val="2F6C2610"/>
    <w:rsid w:val="2F835584"/>
    <w:rsid w:val="2FAC6889"/>
    <w:rsid w:val="2FDD7A81"/>
    <w:rsid w:val="30295E73"/>
    <w:rsid w:val="302F52C6"/>
    <w:rsid w:val="3039447D"/>
    <w:rsid w:val="304F2F84"/>
    <w:rsid w:val="306E3B3E"/>
    <w:rsid w:val="308B2942"/>
    <w:rsid w:val="308B2B76"/>
    <w:rsid w:val="309F65F4"/>
    <w:rsid w:val="30C05ABE"/>
    <w:rsid w:val="30DB023F"/>
    <w:rsid w:val="30E60DE6"/>
    <w:rsid w:val="30EC21E0"/>
    <w:rsid w:val="310465F3"/>
    <w:rsid w:val="31351FE3"/>
    <w:rsid w:val="31541EC1"/>
    <w:rsid w:val="315C063F"/>
    <w:rsid w:val="31670199"/>
    <w:rsid w:val="318D6246"/>
    <w:rsid w:val="31B30944"/>
    <w:rsid w:val="31E47772"/>
    <w:rsid w:val="31FC517A"/>
    <w:rsid w:val="320104FF"/>
    <w:rsid w:val="322746E6"/>
    <w:rsid w:val="325A3DED"/>
    <w:rsid w:val="325B499B"/>
    <w:rsid w:val="3287051E"/>
    <w:rsid w:val="329F0927"/>
    <w:rsid w:val="32A970B0"/>
    <w:rsid w:val="32C1089D"/>
    <w:rsid w:val="33062754"/>
    <w:rsid w:val="33085326"/>
    <w:rsid w:val="336631F3"/>
    <w:rsid w:val="3371145B"/>
    <w:rsid w:val="3394135A"/>
    <w:rsid w:val="33947D60"/>
    <w:rsid w:val="33C122DA"/>
    <w:rsid w:val="33F22F1B"/>
    <w:rsid w:val="341D5FA7"/>
    <w:rsid w:val="347167BC"/>
    <w:rsid w:val="3482405C"/>
    <w:rsid w:val="348A31E6"/>
    <w:rsid w:val="34B45226"/>
    <w:rsid w:val="34B81060"/>
    <w:rsid w:val="34C603ED"/>
    <w:rsid w:val="34CE54F3"/>
    <w:rsid w:val="34CF642A"/>
    <w:rsid w:val="34D96843"/>
    <w:rsid w:val="34F36276"/>
    <w:rsid w:val="34F60372"/>
    <w:rsid w:val="34FF745B"/>
    <w:rsid w:val="352041F6"/>
    <w:rsid w:val="355D50B2"/>
    <w:rsid w:val="357D65D2"/>
    <w:rsid w:val="35C6441D"/>
    <w:rsid w:val="35E0326A"/>
    <w:rsid w:val="35FC399A"/>
    <w:rsid w:val="35FF4995"/>
    <w:rsid w:val="360F68C0"/>
    <w:rsid w:val="363A3CBF"/>
    <w:rsid w:val="364F61C0"/>
    <w:rsid w:val="36505B1A"/>
    <w:rsid w:val="36617CA1"/>
    <w:rsid w:val="36723C5D"/>
    <w:rsid w:val="367E14EA"/>
    <w:rsid w:val="3680074B"/>
    <w:rsid w:val="36BB5653"/>
    <w:rsid w:val="36D36DF1"/>
    <w:rsid w:val="37063C49"/>
    <w:rsid w:val="3713143F"/>
    <w:rsid w:val="37346203"/>
    <w:rsid w:val="37791411"/>
    <w:rsid w:val="377B3553"/>
    <w:rsid w:val="37B15F36"/>
    <w:rsid w:val="37C8447C"/>
    <w:rsid w:val="37D03331"/>
    <w:rsid w:val="37ED5C6E"/>
    <w:rsid w:val="38007070"/>
    <w:rsid w:val="380E45E4"/>
    <w:rsid w:val="382A1FC1"/>
    <w:rsid w:val="385F708A"/>
    <w:rsid w:val="38602906"/>
    <w:rsid w:val="3886502C"/>
    <w:rsid w:val="389337BE"/>
    <w:rsid w:val="38B247E4"/>
    <w:rsid w:val="38BF1443"/>
    <w:rsid w:val="38C62B7B"/>
    <w:rsid w:val="38D97FC3"/>
    <w:rsid w:val="38EE689D"/>
    <w:rsid w:val="391E1E7A"/>
    <w:rsid w:val="396E4BAF"/>
    <w:rsid w:val="39817AEE"/>
    <w:rsid w:val="39F03726"/>
    <w:rsid w:val="39F5319F"/>
    <w:rsid w:val="3A1C2863"/>
    <w:rsid w:val="3A281202"/>
    <w:rsid w:val="3A463220"/>
    <w:rsid w:val="3A5E23D3"/>
    <w:rsid w:val="3A6D5F68"/>
    <w:rsid w:val="3A7B5E8D"/>
    <w:rsid w:val="3A94046C"/>
    <w:rsid w:val="3AC84793"/>
    <w:rsid w:val="3AD1189A"/>
    <w:rsid w:val="3AD410D3"/>
    <w:rsid w:val="3AE97BD2"/>
    <w:rsid w:val="3B173090"/>
    <w:rsid w:val="3B516536"/>
    <w:rsid w:val="3B5206E1"/>
    <w:rsid w:val="3B6E533A"/>
    <w:rsid w:val="3B90709B"/>
    <w:rsid w:val="3C0E1545"/>
    <w:rsid w:val="3C0F436B"/>
    <w:rsid w:val="3C1A48A7"/>
    <w:rsid w:val="3C376D27"/>
    <w:rsid w:val="3C3F5BB5"/>
    <w:rsid w:val="3C815536"/>
    <w:rsid w:val="3CB94393"/>
    <w:rsid w:val="3CF4361D"/>
    <w:rsid w:val="3D112421"/>
    <w:rsid w:val="3D1E2BDA"/>
    <w:rsid w:val="3D280217"/>
    <w:rsid w:val="3D415837"/>
    <w:rsid w:val="3D5777E0"/>
    <w:rsid w:val="3D7529B0"/>
    <w:rsid w:val="3D771BF4"/>
    <w:rsid w:val="3DAD4CBD"/>
    <w:rsid w:val="3DB11565"/>
    <w:rsid w:val="3DE9089D"/>
    <w:rsid w:val="3DFC72FC"/>
    <w:rsid w:val="3E045AE2"/>
    <w:rsid w:val="3E071ED4"/>
    <w:rsid w:val="3E074678"/>
    <w:rsid w:val="3E0B6E71"/>
    <w:rsid w:val="3E155F41"/>
    <w:rsid w:val="3E20454D"/>
    <w:rsid w:val="3E2F5AF8"/>
    <w:rsid w:val="3E426AC0"/>
    <w:rsid w:val="3E5139E4"/>
    <w:rsid w:val="3E522CF1"/>
    <w:rsid w:val="3E707ED2"/>
    <w:rsid w:val="3E8E1DAD"/>
    <w:rsid w:val="3E9B43FB"/>
    <w:rsid w:val="3EA177D5"/>
    <w:rsid w:val="3EA64DEB"/>
    <w:rsid w:val="3EB56DDC"/>
    <w:rsid w:val="3EB63280"/>
    <w:rsid w:val="3ED8454E"/>
    <w:rsid w:val="3F5B5A59"/>
    <w:rsid w:val="3F8A38A0"/>
    <w:rsid w:val="3FAC4683"/>
    <w:rsid w:val="3FFA3DB6"/>
    <w:rsid w:val="401A037E"/>
    <w:rsid w:val="40300E10"/>
    <w:rsid w:val="405C7E57"/>
    <w:rsid w:val="40874AB9"/>
    <w:rsid w:val="40A9471F"/>
    <w:rsid w:val="40E464C8"/>
    <w:rsid w:val="40E83499"/>
    <w:rsid w:val="40EB11DB"/>
    <w:rsid w:val="40EF4827"/>
    <w:rsid w:val="40FC6F44"/>
    <w:rsid w:val="411502A2"/>
    <w:rsid w:val="411B386E"/>
    <w:rsid w:val="412065EA"/>
    <w:rsid w:val="41707650"/>
    <w:rsid w:val="418F600A"/>
    <w:rsid w:val="41946703"/>
    <w:rsid w:val="41986C6D"/>
    <w:rsid w:val="41B25855"/>
    <w:rsid w:val="41CF6407"/>
    <w:rsid w:val="41D533AA"/>
    <w:rsid w:val="41E50275"/>
    <w:rsid w:val="423A5F76"/>
    <w:rsid w:val="424010B3"/>
    <w:rsid w:val="426B25D4"/>
    <w:rsid w:val="426C4F45"/>
    <w:rsid w:val="428C6F7A"/>
    <w:rsid w:val="429B024B"/>
    <w:rsid w:val="429F402B"/>
    <w:rsid w:val="42C65A5C"/>
    <w:rsid w:val="43153A43"/>
    <w:rsid w:val="432D1637"/>
    <w:rsid w:val="433301C0"/>
    <w:rsid w:val="43600D83"/>
    <w:rsid w:val="4376003C"/>
    <w:rsid w:val="438B411C"/>
    <w:rsid w:val="43BE56FA"/>
    <w:rsid w:val="43BF1735"/>
    <w:rsid w:val="43DD4E0B"/>
    <w:rsid w:val="43E16477"/>
    <w:rsid w:val="43EA4167"/>
    <w:rsid w:val="43FF1225"/>
    <w:rsid w:val="440F6F8F"/>
    <w:rsid w:val="44150A49"/>
    <w:rsid w:val="441E3CCD"/>
    <w:rsid w:val="443C6F92"/>
    <w:rsid w:val="446077EA"/>
    <w:rsid w:val="447575EA"/>
    <w:rsid w:val="44983428"/>
    <w:rsid w:val="44A91191"/>
    <w:rsid w:val="44B32787"/>
    <w:rsid w:val="44C22253"/>
    <w:rsid w:val="44D206E8"/>
    <w:rsid w:val="4508235C"/>
    <w:rsid w:val="45295296"/>
    <w:rsid w:val="45475E21"/>
    <w:rsid w:val="455C66CA"/>
    <w:rsid w:val="45615BB4"/>
    <w:rsid w:val="457345C2"/>
    <w:rsid w:val="45A91836"/>
    <w:rsid w:val="45C76287"/>
    <w:rsid w:val="45E36925"/>
    <w:rsid w:val="46001285"/>
    <w:rsid w:val="46115D8B"/>
    <w:rsid w:val="4645313C"/>
    <w:rsid w:val="46603AD2"/>
    <w:rsid w:val="466E0628"/>
    <w:rsid w:val="467A2DE5"/>
    <w:rsid w:val="46843C64"/>
    <w:rsid w:val="46C64100"/>
    <w:rsid w:val="46F245F5"/>
    <w:rsid w:val="46F875AC"/>
    <w:rsid w:val="470476F9"/>
    <w:rsid w:val="47307659"/>
    <w:rsid w:val="47446E38"/>
    <w:rsid w:val="47596E9F"/>
    <w:rsid w:val="47924FD9"/>
    <w:rsid w:val="47B1162A"/>
    <w:rsid w:val="47ED3A0E"/>
    <w:rsid w:val="47FA3E9F"/>
    <w:rsid w:val="480321EB"/>
    <w:rsid w:val="480858BC"/>
    <w:rsid w:val="48117779"/>
    <w:rsid w:val="4839608B"/>
    <w:rsid w:val="485A2C4A"/>
    <w:rsid w:val="48C217AD"/>
    <w:rsid w:val="48C26B02"/>
    <w:rsid w:val="48D93BC9"/>
    <w:rsid w:val="490502D8"/>
    <w:rsid w:val="490B5F77"/>
    <w:rsid w:val="494D47E1"/>
    <w:rsid w:val="4966471F"/>
    <w:rsid w:val="4970029D"/>
    <w:rsid w:val="499C01AE"/>
    <w:rsid w:val="49A85EBB"/>
    <w:rsid w:val="49B0728D"/>
    <w:rsid w:val="49B27E76"/>
    <w:rsid w:val="49D3284A"/>
    <w:rsid w:val="49F5603E"/>
    <w:rsid w:val="49FD091E"/>
    <w:rsid w:val="4A123335"/>
    <w:rsid w:val="4A443E36"/>
    <w:rsid w:val="4A4E2219"/>
    <w:rsid w:val="4A550984"/>
    <w:rsid w:val="4A7C2DC2"/>
    <w:rsid w:val="4AA03036"/>
    <w:rsid w:val="4ACB00B3"/>
    <w:rsid w:val="4AEC7DCD"/>
    <w:rsid w:val="4B3425E6"/>
    <w:rsid w:val="4B3A6FE7"/>
    <w:rsid w:val="4B4B56F7"/>
    <w:rsid w:val="4B6E5348"/>
    <w:rsid w:val="4B6E5986"/>
    <w:rsid w:val="4B746AB4"/>
    <w:rsid w:val="4B831E79"/>
    <w:rsid w:val="4BA206E8"/>
    <w:rsid w:val="4BA83F51"/>
    <w:rsid w:val="4BB5041C"/>
    <w:rsid w:val="4BBA1ED6"/>
    <w:rsid w:val="4BC535EC"/>
    <w:rsid w:val="4BCF3BD3"/>
    <w:rsid w:val="4C0E2978"/>
    <w:rsid w:val="4C1519A0"/>
    <w:rsid w:val="4C1B71A7"/>
    <w:rsid w:val="4C1E7679"/>
    <w:rsid w:val="4C4A14AC"/>
    <w:rsid w:val="4C571AC7"/>
    <w:rsid w:val="4C594500"/>
    <w:rsid w:val="4C765DFD"/>
    <w:rsid w:val="4C984F9B"/>
    <w:rsid w:val="4CA21C4A"/>
    <w:rsid w:val="4CF55DDD"/>
    <w:rsid w:val="4D03716D"/>
    <w:rsid w:val="4D16138E"/>
    <w:rsid w:val="4D220375"/>
    <w:rsid w:val="4D692663"/>
    <w:rsid w:val="4D7B4640"/>
    <w:rsid w:val="4D812CAB"/>
    <w:rsid w:val="4D886C44"/>
    <w:rsid w:val="4DB0731C"/>
    <w:rsid w:val="4E8005CA"/>
    <w:rsid w:val="4EA74993"/>
    <w:rsid w:val="4EAB59DF"/>
    <w:rsid w:val="4EB15D2B"/>
    <w:rsid w:val="4EC12B91"/>
    <w:rsid w:val="4EC54E1A"/>
    <w:rsid w:val="4ED46CBB"/>
    <w:rsid w:val="4F1835F7"/>
    <w:rsid w:val="4F304989"/>
    <w:rsid w:val="4F5B6E1E"/>
    <w:rsid w:val="4F896D48"/>
    <w:rsid w:val="4F9C3DCC"/>
    <w:rsid w:val="4FC77FC1"/>
    <w:rsid w:val="4FD72B23"/>
    <w:rsid w:val="4FE34F30"/>
    <w:rsid w:val="4FE466E1"/>
    <w:rsid w:val="50146059"/>
    <w:rsid w:val="502B61EB"/>
    <w:rsid w:val="50302767"/>
    <w:rsid w:val="503E1024"/>
    <w:rsid w:val="504C7CCA"/>
    <w:rsid w:val="504D50C7"/>
    <w:rsid w:val="507C3BFE"/>
    <w:rsid w:val="507F724A"/>
    <w:rsid w:val="50974594"/>
    <w:rsid w:val="509A0BDE"/>
    <w:rsid w:val="50BA3D1E"/>
    <w:rsid w:val="50C3571D"/>
    <w:rsid w:val="50D47596"/>
    <w:rsid w:val="50E772C9"/>
    <w:rsid w:val="5111599D"/>
    <w:rsid w:val="5147420C"/>
    <w:rsid w:val="51583680"/>
    <w:rsid w:val="51600054"/>
    <w:rsid w:val="51823496"/>
    <w:rsid w:val="51A2607D"/>
    <w:rsid w:val="51C4760A"/>
    <w:rsid w:val="51D04848"/>
    <w:rsid w:val="51F2768D"/>
    <w:rsid w:val="51FC6DA4"/>
    <w:rsid w:val="52270757"/>
    <w:rsid w:val="52552958"/>
    <w:rsid w:val="528559C7"/>
    <w:rsid w:val="528A121C"/>
    <w:rsid w:val="52A308F4"/>
    <w:rsid w:val="532244AD"/>
    <w:rsid w:val="5367649F"/>
    <w:rsid w:val="53792400"/>
    <w:rsid w:val="539D78BB"/>
    <w:rsid w:val="53AB2C72"/>
    <w:rsid w:val="53B042EA"/>
    <w:rsid w:val="53B967D7"/>
    <w:rsid w:val="53C02C55"/>
    <w:rsid w:val="53C03E02"/>
    <w:rsid w:val="53C81F58"/>
    <w:rsid w:val="53DA1367"/>
    <w:rsid w:val="53E162A0"/>
    <w:rsid w:val="5402266C"/>
    <w:rsid w:val="542328CE"/>
    <w:rsid w:val="542406F9"/>
    <w:rsid w:val="542809AE"/>
    <w:rsid w:val="5470512B"/>
    <w:rsid w:val="548217D7"/>
    <w:rsid w:val="54887FF4"/>
    <w:rsid w:val="548F2152"/>
    <w:rsid w:val="549414A4"/>
    <w:rsid w:val="54C142D5"/>
    <w:rsid w:val="54F77FD5"/>
    <w:rsid w:val="54F834E2"/>
    <w:rsid w:val="55350158"/>
    <w:rsid w:val="55396B5E"/>
    <w:rsid w:val="55452810"/>
    <w:rsid w:val="554967A4"/>
    <w:rsid w:val="554F448D"/>
    <w:rsid w:val="555313D1"/>
    <w:rsid w:val="5555142A"/>
    <w:rsid w:val="555D66B2"/>
    <w:rsid w:val="557775F4"/>
    <w:rsid w:val="557C3C42"/>
    <w:rsid w:val="55A776B6"/>
    <w:rsid w:val="55B13325"/>
    <w:rsid w:val="55EC0126"/>
    <w:rsid w:val="55EE4C56"/>
    <w:rsid w:val="55FD30EB"/>
    <w:rsid w:val="55FE0F91"/>
    <w:rsid w:val="562B174D"/>
    <w:rsid w:val="56321D83"/>
    <w:rsid w:val="56350AD7"/>
    <w:rsid w:val="564B02FA"/>
    <w:rsid w:val="564C7BCE"/>
    <w:rsid w:val="564D77BB"/>
    <w:rsid w:val="56535401"/>
    <w:rsid w:val="56901DC8"/>
    <w:rsid w:val="569D0B6E"/>
    <w:rsid w:val="56A33BB2"/>
    <w:rsid w:val="56BF4844"/>
    <w:rsid w:val="56CA0859"/>
    <w:rsid w:val="56CF53C7"/>
    <w:rsid w:val="56F75D8C"/>
    <w:rsid w:val="57461803"/>
    <w:rsid w:val="576152E0"/>
    <w:rsid w:val="57727B09"/>
    <w:rsid w:val="57792810"/>
    <w:rsid w:val="5784175D"/>
    <w:rsid w:val="578C7B66"/>
    <w:rsid w:val="579B08C7"/>
    <w:rsid w:val="579B705F"/>
    <w:rsid w:val="57CF5EF2"/>
    <w:rsid w:val="580544D9"/>
    <w:rsid w:val="58154F81"/>
    <w:rsid w:val="583B4482"/>
    <w:rsid w:val="5870229A"/>
    <w:rsid w:val="58A904F4"/>
    <w:rsid w:val="58A9755A"/>
    <w:rsid w:val="58AD7B14"/>
    <w:rsid w:val="58D82053"/>
    <w:rsid w:val="58E356F5"/>
    <w:rsid w:val="59091DA7"/>
    <w:rsid w:val="591A3FB4"/>
    <w:rsid w:val="5923730C"/>
    <w:rsid w:val="592C606A"/>
    <w:rsid w:val="596040BD"/>
    <w:rsid w:val="59610B9F"/>
    <w:rsid w:val="596A6CE9"/>
    <w:rsid w:val="597D7066"/>
    <w:rsid w:val="59E720E8"/>
    <w:rsid w:val="5A0208F9"/>
    <w:rsid w:val="5A5255BC"/>
    <w:rsid w:val="5A5714A4"/>
    <w:rsid w:val="5A6A4E17"/>
    <w:rsid w:val="5A6E07BD"/>
    <w:rsid w:val="5A84380D"/>
    <w:rsid w:val="5A8D3705"/>
    <w:rsid w:val="5AB729BD"/>
    <w:rsid w:val="5AD430AD"/>
    <w:rsid w:val="5AE20B01"/>
    <w:rsid w:val="5AED0AB2"/>
    <w:rsid w:val="5AFD4B39"/>
    <w:rsid w:val="5B2630E4"/>
    <w:rsid w:val="5B396D04"/>
    <w:rsid w:val="5B3F5F54"/>
    <w:rsid w:val="5B506754"/>
    <w:rsid w:val="5B6B0AF7"/>
    <w:rsid w:val="5BAC3CB1"/>
    <w:rsid w:val="5BD73692"/>
    <w:rsid w:val="5BF979BC"/>
    <w:rsid w:val="5C1C1A6F"/>
    <w:rsid w:val="5C1F482A"/>
    <w:rsid w:val="5C2E04A2"/>
    <w:rsid w:val="5C66635B"/>
    <w:rsid w:val="5C6A5542"/>
    <w:rsid w:val="5C751491"/>
    <w:rsid w:val="5C753DAB"/>
    <w:rsid w:val="5C9B7CEB"/>
    <w:rsid w:val="5CB07109"/>
    <w:rsid w:val="5CB32755"/>
    <w:rsid w:val="5CBC3D00"/>
    <w:rsid w:val="5CBF559E"/>
    <w:rsid w:val="5D131446"/>
    <w:rsid w:val="5D364BA9"/>
    <w:rsid w:val="5D6B2DE0"/>
    <w:rsid w:val="5D6B74D4"/>
    <w:rsid w:val="5D7843A7"/>
    <w:rsid w:val="5DC76A50"/>
    <w:rsid w:val="5DD93AB7"/>
    <w:rsid w:val="5DE74DAC"/>
    <w:rsid w:val="5E367918"/>
    <w:rsid w:val="5E375D9B"/>
    <w:rsid w:val="5E4556A0"/>
    <w:rsid w:val="5E4D1EA9"/>
    <w:rsid w:val="5E4F26A0"/>
    <w:rsid w:val="5E565A8E"/>
    <w:rsid w:val="5E8D7FDA"/>
    <w:rsid w:val="5E912F6A"/>
    <w:rsid w:val="5ED3521C"/>
    <w:rsid w:val="5ED76E2E"/>
    <w:rsid w:val="5EEB540E"/>
    <w:rsid w:val="5EFE3FF8"/>
    <w:rsid w:val="5F034AD6"/>
    <w:rsid w:val="5F7220CA"/>
    <w:rsid w:val="5F750196"/>
    <w:rsid w:val="5F7E1B3E"/>
    <w:rsid w:val="5FCB00EA"/>
    <w:rsid w:val="5FD70E51"/>
    <w:rsid w:val="5FFA0406"/>
    <w:rsid w:val="60025ECE"/>
    <w:rsid w:val="60027F56"/>
    <w:rsid w:val="6018141E"/>
    <w:rsid w:val="605F50F7"/>
    <w:rsid w:val="60AF1486"/>
    <w:rsid w:val="60D81A4E"/>
    <w:rsid w:val="60F449B2"/>
    <w:rsid w:val="60FE32EE"/>
    <w:rsid w:val="61053A46"/>
    <w:rsid w:val="615E35D8"/>
    <w:rsid w:val="61901208"/>
    <w:rsid w:val="61AA2758"/>
    <w:rsid w:val="61BA058B"/>
    <w:rsid w:val="61C3168D"/>
    <w:rsid w:val="62422092"/>
    <w:rsid w:val="62465E1A"/>
    <w:rsid w:val="625A4188"/>
    <w:rsid w:val="627666FF"/>
    <w:rsid w:val="628173F0"/>
    <w:rsid w:val="62860506"/>
    <w:rsid w:val="628F3483"/>
    <w:rsid w:val="629F6062"/>
    <w:rsid w:val="62A2730F"/>
    <w:rsid w:val="62AA250B"/>
    <w:rsid w:val="62B9123F"/>
    <w:rsid w:val="62CD073C"/>
    <w:rsid w:val="63003ABE"/>
    <w:rsid w:val="634618F9"/>
    <w:rsid w:val="6361144E"/>
    <w:rsid w:val="63C5332A"/>
    <w:rsid w:val="63C92ED3"/>
    <w:rsid w:val="63F76CBC"/>
    <w:rsid w:val="64072664"/>
    <w:rsid w:val="642F1C4D"/>
    <w:rsid w:val="646551CF"/>
    <w:rsid w:val="64680C55"/>
    <w:rsid w:val="64791C7A"/>
    <w:rsid w:val="647A3531"/>
    <w:rsid w:val="648570CD"/>
    <w:rsid w:val="64915201"/>
    <w:rsid w:val="6492430D"/>
    <w:rsid w:val="649671AB"/>
    <w:rsid w:val="64C4255D"/>
    <w:rsid w:val="64CE2822"/>
    <w:rsid w:val="64F2562B"/>
    <w:rsid w:val="654E3963"/>
    <w:rsid w:val="656942F9"/>
    <w:rsid w:val="657B402C"/>
    <w:rsid w:val="658F77B8"/>
    <w:rsid w:val="65A82BAC"/>
    <w:rsid w:val="65D8147F"/>
    <w:rsid w:val="65ED5F33"/>
    <w:rsid w:val="66070380"/>
    <w:rsid w:val="66B15F58"/>
    <w:rsid w:val="66E82CEE"/>
    <w:rsid w:val="66EA1469"/>
    <w:rsid w:val="66EE072A"/>
    <w:rsid w:val="66FE3167"/>
    <w:rsid w:val="6709391F"/>
    <w:rsid w:val="6711376C"/>
    <w:rsid w:val="67397E47"/>
    <w:rsid w:val="673C0447"/>
    <w:rsid w:val="67683DC9"/>
    <w:rsid w:val="6773633E"/>
    <w:rsid w:val="679171F9"/>
    <w:rsid w:val="67B9147E"/>
    <w:rsid w:val="67C45239"/>
    <w:rsid w:val="67CC5D59"/>
    <w:rsid w:val="67F21BCA"/>
    <w:rsid w:val="67FD6F7B"/>
    <w:rsid w:val="68103152"/>
    <w:rsid w:val="6850354E"/>
    <w:rsid w:val="685F53AB"/>
    <w:rsid w:val="68757459"/>
    <w:rsid w:val="688356D2"/>
    <w:rsid w:val="6887742C"/>
    <w:rsid w:val="689217BA"/>
    <w:rsid w:val="689E42BA"/>
    <w:rsid w:val="68AF3F6D"/>
    <w:rsid w:val="68C3453A"/>
    <w:rsid w:val="68E85E7D"/>
    <w:rsid w:val="690A5742"/>
    <w:rsid w:val="69143F32"/>
    <w:rsid w:val="693764BC"/>
    <w:rsid w:val="69503956"/>
    <w:rsid w:val="69521573"/>
    <w:rsid w:val="69767FB8"/>
    <w:rsid w:val="6988021B"/>
    <w:rsid w:val="69B13883"/>
    <w:rsid w:val="69BE3C72"/>
    <w:rsid w:val="69C42504"/>
    <w:rsid w:val="69DE5EF6"/>
    <w:rsid w:val="69E1767B"/>
    <w:rsid w:val="6A4576E6"/>
    <w:rsid w:val="6A8513C2"/>
    <w:rsid w:val="6A934F9F"/>
    <w:rsid w:val="6AAD6A36"/>
    <w:rsid w:val="6AF1386A"/>
    <w:rsid w:val="6B054C71"/>
    <w:rsid w:val="6B1F5CAF"/>
    <w:rsid w:val="6B2009D5"/>
    <w:rsid w:val="6B39200D"/>
    <w:rsid w:val="6B4A4655"/>
    <w:rsid w:val="6B5C61BC"/>
    <w:rsid w:val="6B65611A"/>
    <w:rsid w:val="6B843B2B"/>
    <w:rsid w:val="6BCC16CA"/>
    <w:rsid w:val="6BE203D1"/>
    <w:rsid w:val="6C2A49C0"/>
    <w:rsid w:val="6C305F8D"/>
    <w:rsid w:val="6C4E33F1"/>
    <w:rsid w:val="6C79432F"/>
    <w:rsid w:val="6C9D138F"/>
    <w:rsid w:val="6C9F62AA"/>
    <w:rsid w:val="6CDC7B2E"/>
    <w:rsid w:val="6CDC7C7D"/>
    <w:rsid w:val="6CDE55CC"/>
    <w:rsid w:val="6CF4154E"/>
    <w:rsid w:val="6D5D0BE7"/>
    <w:rsid w:val="6D626F00"/>
    <w:rsid w:val="6D797305"/>
    <w:rsid w:val="6DA97B06"/>
    <w:rsid w:val="6DBA0A85"/>
    <w:rsid w:val="6DD4443F"/>
    <w:rsid w:val="6E262BC5"/>
    <w:rsid w:val="6E596897"/>
    <w:rsid w:val="6E6E0BD2"/>
    <w:rsid w:val="6E946A7C"/>
    <w:rsid w:val="6ECC6BD6"/>
    <w:rsid w:val="6EEC248C"/>
    <w:rsid w:val="6F022250"/>
    <w:rsid w:val="6F0B438B"/>
    <w:rsid w:val="6F14284D"/>
    <w:rsid w:val="6F2463D6"/>
    <w:rsid w:val="6F827151"/>
    <w:rsid w:val="6F8B3687"/>
    <w:rsid w:val="6F9401C4"/>
    <w:rsid w:val="6F9704C7"/>
    <w:rsid w:val="6F9E1043"/>
    <w:rsid w:val="6FA128E1"/>
    <w:rsid w:val="6FFD045F"/>
    <w:rsid w:val="701C6B3E"/>
    <w:rsid w:val="70293003"/>
    <w:rsid w:val="7093338D"/>
    <w:rsid w:val="709F5073"/>
    <w:rsid w:val="70A67126"/>
    <w:rsid w:val="70BB79D3"/>
    <w:rsid w:val="70C170B2"/>
    <w:rsid w:val="70C218D9"/>
    <w:rsid w:val="70E94DA7"/>
    <w:rsid w:val="711D243B"/>
    <w:rsid w:val="71294CBD"/>
    <w:rsid w:val="7137174F"/>
    <w:rsid w:val="7138265A"/>
    <w:rsid w:val="71844269"/>
    <w:rsid w:val="71AE3B50"/>
    <w:rsid w:val="71CA3DAD"/>
    <w:rsid w:val="71D23226"/>
    <w:rsid w:val="72002718"/>
    <w:rsid w:val="72565C05"/>
    <w:rsid w:val="725D3437"/>
    <w:rsid w:val="726134BB"/>
    <w:rsid w:val="727644F9"/>
    <w:rsid w:val="72916055"/>
    <w:rsid w:val="72B204A5"/>
    <w:rsid w:val="72B73B47"/>
    <w:rsid w:val="72D11266"/>
    <w:rsid w:val="72F33E39"/>
    <w:rsid w:val="73240151"/>
    <w:rsid w:val="732C4AA1"/>
    <w:rsid w:val="732E094E"/>
    <w:rsid w:val="733E1093"/>
    <w:rsid w:val="73530396"/>
    <w:rsid w:val="73530B73"/>
    <w:rsid w:val="736A5E0C"/>
    <w:rsid w:val="736B07C0"/>
    <w:rsid w:val="73B44620"/>
    <w:rsid w:val="73C44508"/>
    <w:rsid w:val="73C64837"/>
    <w:rsid w:val="73DB48F8"/>
    <w:rsid w:val="73E95229"/>
    <w:rsid w:val="74087741"/>
    <w:rsid w:val="741235E9"/>
    <w:rsid w:val="742D5A28"/>
    <w:rsid w:val="743401C8"/>
    <w:rsid w:val="74607793"/>
    <w:rsid w:val="74737079"/>
    <w:rsid w:val="747A7D2B"/>
    <w:rsid w:val="74A16D28"/>
    <w:rsid w:val="74B70AB4"/>
    <w:rsid w:val="74BB20D6"/>
    <w:rsid w:val="74CF5852"/>
    <w:rsid w:val="74D472B5"/>
    <w:rsid w:val="750E0F94"/>
    <w:rsid w:val="751002F7"/>
    <w:rsid w:val="75321A53"/>
    <w:rsid w:val="7535244A"/>
    <w:rsid w:val="75670CF5"/>
    <w:rsid w:val="757A60AE"/>
    <w:rsid w:val="75894508"/>
    <w:rsid w:val="75B3067F"/>
    <w:rsid w:val="75C44D0C"/>
    <w:rsid w:val="75F72710"/>
    <w:rsid w:val="75F77639"/>
    <w:rsid w:val="76497A7B"/>
    <w:rsid w:val="765442E2"/>
    <w:rsid w:val="76A957FA"/>
    <w:rsid w:val="76EB7264"/>
    <w:rsid w:val="76F01BD6"/>
    <w:rsid w:val="76FB3318"/>
    <w:rsid w:val="773F3EF6"/>
    <w:rsid w:val="774D052F"/>
    <w:rsid w:val="77903967"/>
    <w:rsid w:val="77981E3E"/>
    <w:rsid w:val="77CC5F6D"/>
    <w:rsid w:val="78175E36"/>
    <w:rsid w:val="78460CF0"/>
    <w:rsid w:val="7851759A"/>
    <w:rsid w:val="785B21C7"/>
    <w:rsid w:val="785E1CB7"/>
    <w:rsid w:val="788D60F9"/>
    <w:rsid w:val="78BE4504"/>
    <w:rsid w:val="78D34F15"/>
    <w:rsid w:val="78EB3898"/>
    <w:rsid w:val="79246A5D"/>
    <w:rsid w:val="79492020"/>
    <w:rsid w:val="795F7A95"/>
    <w:rsid w:val="798058E5"/>
    <w:rsid w:val="79927E6B"/>
    <w:rsid w:val="79984D55"/>
    <w:rsid w:val="79B0209F"/>
    <w:rsid w:val="79C8388C"/>
    <w:rsid w:val="7A1A1C0E"/>
    <w:rsid w:val="7A4D01DD"/>
    <w:rsid w:val="7A560E98"/>
    <w:rsid w:val="7A7A2CB5"/>
    <w:rsid w:val="7AAC160F"/>
    <w:rsid w:val="7ABC4A73"/>
    <w:rsid w:val="7AC13CF3"/>
    <w:rsid w:val="7AC36060"/>
    <w:rsid w:val="7AE244DA"/>
    <w:rsid w:val="7B1D19B6"/>
    <w:rsid w:val="7B2A5E81"/>
    <w:rsid w:val="7B3B2796"/>
    <w:rsid w:val="7B5022DD"/>
    <w:rsid w:val="7B6A7E1A"/>
    <w:rsid w:val="7B810197"/>
    <w:rsid w:val="7B9C1CE2"/>
    <w:rsid w:val="7C684EB3"/>
    <w:rsid w:val="7C8718BD"/>
    <w:rsid w:val="7C88221D"/>
    <w:rsid w:val="7C8B21E7"/>
    <w:rsid w:val="7D0F2F2C"/>
    <w:rsid w:val="7D260BDE"/>
    <w:rsid w:val="7D5641CA"/>
    <w:rsid w:val="7D6733BC"/>
    <w:rsid w:val="7D74313D"/>
    <w:rsid w:val="7D7D498E"/>
    <w:rsid w:val="7D8E0B10"/>
    <w:rsid w:val="7DAC19B5"/>
    <w:rsid w:val="7DCE408B"/>
    <w:rsid w:val="7DE95376"/>
    <w:rsid w:val="7DFB1EBB"/>
    <w:rsid w:val="7E2274A6"/>
    <w:rsid w:val="7E3F55B8"/>
    <w:rsid w:val="7E41426A"/>
    <w:rsid w:val="7E510584"/>
    <w:rsid w:val="7E6D4A02"/>
    <w:rsid w:val="7E7A4D36"/>
    <w:rsid w:val="7E885398"/>
    <w:rsid w:val="7EB16AF4"/>
    <w:rsid w:val="7ED700CE"/>
    <w:rsid w:val="7EDF5174"/>
    <w:rsid w:val="7EFB30E3"/>
    <w:rsid w:val="7F272E03"/>
    <w:rsid w:val="7F3726FE"/>
    <w:rsid w:val="7F4C021D"/>
    <w:rsid w:val="7FAE7080"/>
    <w:rsid w:val="7FBF3F1C"/>
    <w:rsid w:val="7FC71381"/>
    <w:rsid w:val="7FDC1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2"/>
      <w:lang w:val="en-US" w:eastAsia="zh-CN" w:bidi="ar-SA"/>
    </w:rPr>
  </w:style>
  <w:style w:type="paragraph" w:styleId="4">
    <w:name w:val="heading 1"/>
    <w:next w:val="1"/>
    <w:qFormat/>
    <w:uiPriority w:val="0"/>
    <w:pPr>
      <w:spacing w:before="380" w:after="140" w:line="288" w:lineRule="auto"/>
      <w:outlineLvl w:val="0"/>
    </w:pPr>
    <w:rPr>
      <w:rFonts w:ascii="Arial" w:hAnsi="Arial" w:eastAsia="等线" w:cs="Arial"/>
      <w:b/>
      <w:bCs/>
      <w:sz w:val="36"/>
      <w:szCs w:val="36"/>
      <w:lang w:val="en-US" w:eastAsia="zh-CN" w:bidi="ar-SA"/>
    </w:rPr>
  </w:style>
  <w:style w:type="paragraph" w:styleId="5">
    <w:name w:val="heading 2"/>
    <w:basedOn w:val="1"/>
    <w:next w:val="1"/>
    <w:semiHidden/>
    <w:unhideWhenUsed/>
    <w:qFormat/>
    <w:uiPriority w:val="0"/>
    <w:pPr>
      <w:spacing w:beforeAutospacing="1" w:afterAutospacing="1"/>
      <w:jc w:val="left"/>
      <w:outlineLvl w:val="1"/>
    </w:pPr>
    <w:rPr>
      <w:rFonts w:hint="eastAsia" w:ascii="宋体" w:hAnsi="宋体"/>
      <w:b/>
      <w:bCs/>
      <w:sz w:val="36"/>
      <w:szCs w:val="36"/>
    </w:rPr>
  </w:style>
  <w:style w:type="paragraph" w:styleId="6">
    <w:name w:val="heading 3"/>
    <w:basedOn w:val="1"/>
    <w:next w:val="1"/>
    <w:semiHidden/>
    <w:unhideWhenUsed/>
    <w:qFormat/>
    <w:uiPriority w:val="0"/>
    <w:pPr>
      <w:spacing w:beforeAutospacing="1" w:afterAutospacing="1"/>
      <w:jc w:val="left"/>
      <w:outlineLvl w:val="2"/>
    </w:pPr>
    <w:rPr>
      <w:rFonts w:hint="eastAsia" w:ascii="宋体" w:hAnsi="宋体"/>
      <w:b/>
      <w:bCs/>
      <w:sz w:val="27"/>
      <w:szCs w:val="27"/>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semiHidden/>
    <w:unhideWhenUsed/>
    <w:qFormat/>
    <w:uiPriority w:val="99"/>
    <w:pPr>
      <w:spacing w:after="120"/>
      <w:ind w:left="420" w:leftChars="200"/>
    </w:pPr>
  </w:style>
  <w:style w:type="paragraph" w:styleId="7">
    <w:name w:val="annotation text"/>
    <w:basedOn w:val="1"/>
    <w:link w:val="23"/>
    <w:qFormat/>
    <w:uiPriority w:val="0"/>
    <w:pPr>
      <w:jc w:val="left"/>
    </w:pPr>
  </w:style>
  <w:style w:type="paragraph" w:styleId="8">
    <w:name w:val="Body Text"/>
    <w:basedOn w:val="1"/>
    <w:semiHidden/>
    <w:qFormat/>
    <w:uiPriority w:val="0"/>
    <w:rPr>
      <w:rFonts w:ascii="微软雅黑" w:hAnsi="微软雅黑" w:eastAsia="微软雅黑" w:cs="微软雅黑"/>
      <w:sz w:val="24"/>
      <w:szCs w:val="24"/>
      <w:lang w:eastAsia="en-US"/>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qFormat/>
    <w:uiPriority w:val="39"/>
  </w:style>
  <w:style w:type="paragraph" w:styleId="12">
    <w:name w:val="footnote text"/>
    <w:basedOn w:val="1"/>
    <w:link w:val="22"/>
    <w:qFormat/>
    <w:uiPriority w:val="0"/>
    <w:pPr>
      <w:snapToGrid w:val="0"/>
      <w:jc w:val="left"/>
    </w:pPr>
    <w:rPr>
      <w:sz w:val="18"/>
    </w:rPr>
  </w:style>
  <w:style w:type="paragraph" w:styleId="13">
    <w:name w:val="toc 2"/>
    <w:basedOn w:val="1"/>
    <w:next w:val="1"/>
    <w:qFormat/>
    <w:uiPriority w:val="39"/>
    <w:pPr>
      <w:ind w:left="420" w:leftChars="200"/>
    </w:pPr>
  </w:style>
  <w:style w:type="paragraph" w:styleId="14">
    <w:name w:val="Normal (Web)"/>
    <w:basedOn w:val="1"/>
    <w:qFormat/>
    <w:uiPriority w:val="0"/>
    <w:pPr>
      <w:spacing w:beforeAutospacing="1" w:afterAutospacing="1"/>
      <w:jc w:val="left"/>
    </w:pPr>
    <w:rPr>
      <w:sz w:val="24"/>
    </w:rPr>
  </w:style>
  <w:style w:type="paragraph" w:styleId="15">
    <w:name w:val="annotation subject"/>
    <w:basedOn w:val="7"/>
    <w:next w:val="7"/>
    <w:link w:val="24"/>
    <w:qFormat/>
    <w:uiPriority w:val="0"/>
    <w:rPr>
      <w:b/>
      <w:bCs/>
    </w:rPr>
  </w:style>
  <w:style w:type="character" w:styleId="18">
    <w:name w:val="Strong"/>
    <w:basedOn w:val="17"/>
    <w:qFormat/>
    <w:uiPriority w:val="0"/>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styleId="20">
    <w:name w:val="annotation reference"/>
    <w:basedOn w:val="17"/>
    <w:qFormat/>
    <w:uiPriority w:val="0"/>
    <w:rPr>
      <w:sz w:val="21"/>
      <w:szCs w:val="21"/>
    </w:rPr>
  </w:style>
  <w:style w:type="character" w:styleId="21">
    <w:name w:val="footnote reference"/>
    <w:basedOn w:val="17"/>
    <w:qFormat/>
    <w:uiPriority w:val="0"/>
    <w:rPr>
      <w:vertAlign w:val="superscript"/>
    </w:rPr>
  </w:style>
  <w:style w:type="character" w:customStyle="1" w:styleId="22">
    <w:name w:val="脚注文本 字符"/>
    <w:basedOn w:val="17"/>
    <w:link w:val="12"/>
    <w:qFormat/>
    <w:uiPriority w:val="0"/>
    <w:rPr>
      <w:sz w:val="18"/>
      <w:szCs w:val="22"/>
    </w:rPr>
  </w:style>
  <w:style w:type="character" w:customStyle="1" w:styleId="23">
    <w:name w:val="批注文字 字符"/>
    <w:basedOn w:val="17"/>
    <w:link w:val="7"/>
    <w:qFormat/>
    <w:uiPriority w:val="0"/>
    <w:rPr>
      <w:sz w:val="21"/>
      <w:szCs w:val="22"/>
    </w:rPr>
  </w:style>
  <w:style w:type="character" w:customStyle="1" w:styleId="24">
    <w:name w:val="批注主题 字符"/>
    <w:basedOn w:val="23"/>
    <w:link w:val="15"/>
    <w:qFormat/>
    <w:uiPriority w:val="0"/>
    <w:rPr>
      <w:b/>
      <w:bCs/>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44</Pages>
  <Words>20379</Words>
  <Characters>21113</Characters>
  <Lines>684</Lines>
  <Paragraphs>667</Paragraphs>
  <TotalTime>8</TotalTime>
  <ScaleCrop>false</ScaleCrop>
  <LinksUpToDate>false</LinksUpToDate>
  <CharactersWithSpaces>21446</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2026-05-21T06:37:00Z</dcterms:created>
  <dc:creator>Apache POI</dc:creator>
  <cp:lastModifiedBy>符晶</cp:lastModifiedBy>
  <cp:lastPrinted>2026-08-21T08:39:00Z</cp:lastPrinted>
  <dcterms:modified xsi:type="dcterms:W3CDTF">2026-08-21T08:52:18Z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eyJoZGlkIjoiNDgzYjE1MzNmZDAyNGJmZjdmOGIxZjViNzMxYzIxMzciLCJ1c2VySWQiOiI0Mzk4NjkzMjkifQ==</vt:lpwstr>
  </property>
  <property fmtid="{D5CDD505-2E9C-101B-9397-08002B2CF9AE}" pid="3" name="KSOProductBuildVer">
    <vt:lpwstr>2052-11.8.2.8875</vt:lpwstr>
  </property>
  <property fmtid="{D5CDD505-2E9C-101B-9397-08002B2CF9AE}" pid="4" name="ICV">
    <vt:lpwstr>1129DE99C91B4D2782628470DFBF99AB_12</vt:lpwstr>
  </property>
</Properties>
</file>