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utlineLvl w:val="9"/>
        <w:rPr>
          <w:rFonts w:hint="eastAsia" w:ascii="黑体" w:hAnsi="黑体" w:eastAsia="黑体" w:cs="黑体"/>
          <w:sz w:val="32"/>
          <w:szCs w:val="32"/>
          <w:highlight w:val="none"/>
          <w:lang w:val="en-US" w:eastAsia="zh-CN"/>
        </w:rPr>
      </w:pPr>
    </w:p>
    <w:p>
      <w:pPr>
        <w:outlineLvl w:val="9"/>
        <w:rPr>
          <w:rFonts w:hint="eastAsia"/>
          <w:highlight w:val="none"/>
          <w:lang w:val="en-US" w:eastAsia="zh-CN"/>
        </w:rPr>
      </w:pPr>
    </w:p>
    <w:p>
      <w:pPr>
        <w:outlineLvl w:val="9"/>
        <w:rPr>
          <w:rFonts w:hint="default" w:ascii="Times New Roman" w:hAnsi="Times New Roman" w:cs="Times New Roman"/>
          <w:highlight w:val="none"/>
          <w:lang w:val="en-US" w:eastAsia="zh-CN"/>
        </w:rPr>
      </w:pPr>
    </w:p>
    <w:p>
      <w:pPr>
        <w:pStyle w:val="8"/>
        <w:keepNext w:val="0"/>
        <w:keepLines w:val="0"/>
        <w:pageBreakBefore w:val="0"/>
        <w:widowControl w:val="0"/>
        <w:kinsoku w:val="0"/>
        <w:wordWrap/>
        <w:overflowPunct w:val="0"/>
        <w:topLinePunct w:val="0"/>
        <w:autoSpaceDE/>
        <w:autoSpaceDN/>
        <w:bidi w:val="0"/>
        <w:adjustRightInd/>
        <w:snapToGrid/>
        <w:spacing w:beforeLines="0" w:after="157" w:afterLines="50" w:line="252" w:lineRule="auto"/>
        <w:ind w:left="0" w:leftChars="0" w:firstLine="0" w:firstLineChars="0"/>
        <w:jc w:val="center"/>
        <w:textAlignment w:val="auto"/>
        <w:rPr>
          <w:rFonts w:hint="default" w:ascii="Times New Roman" w:hAnsi="Times New Roman" w:eastAsia="方正小标宋简体" w:cs="Times New Roman"/>
          <w:b w:val="0"/>
          <w:bCs w:val="0"/>
          <w:sz w:val="48"/>
          <w:szCs w:val="48"/>
        </w:rPr>
      </w:pPr>
      <w:r>
        <w:rPr>
          <w:rFonts w:hint="default" w:ascii="Times New Roman" w:hAnsi="Times New Roman" w:eastAsia="方正小标宋简体" w:cs="Times New Roman"/>
          <w:b w:val="0"/>
          <w:bCs w:val="0"/>
          <w:sz w:val="48"/>
          <w:szCs w:val="48"/>
        </w:rPr>
        <w:t>三亚市天涯区再生资源回收利用</w:t>
      </w:r>
    </w:p>
    <w:p>
      <w:pPr>
        <w:pStyle w:val="8"/>
        <w:keepNext w:val="0"/>
        <w:keepLines w:val="0"/>
        <w:pageBreakBefore w:val="0"/>
        <w:widowControl w:val="0"/>
        <w:kinsoku w:val="0"/>
        <w:wordWrap/>
        <w:overflowPunct w:val="0"/>
        <w:topLinePunct w:val="0"/>
        <w:autoSpaceDE/>
        <w:autoSpaceDN/>
        <w:bidi w:val="0"/>
        <w:adjustRightInd/>
        <w:snapToGrid/>
        <w:spacing w:beforeLines="0" w:after="157" w:afterLines="50" w:line="252" w:lineRule="auto"/>
        <w:ind w:left="0" w:leftChars="0" w:firstLine="0" w:firstLineChars="0"/>
        <w:jc w:val="center"/>
        <w:textAlignment w:val="auto"/>
        <w:rPr>
          <w:rFonts w:hint="default" w:ascii="Times New Roman" w:hAnsi="Times New Roman" w:eastAsia="方正公文小标宋" w:cs="Times New Roman"/>
          <w:b w:val="0"/>
          <w:sz w:val="44"/>
          <w:szCs w:val="44"/>
        </w:rPr>
      </w:pPr>
      <w:r>
        <w:rPr>
          <w:rFonts w:hint="default" w:ascii="Times New Roman" w:hAnsi="Times New Roman" w:eastAsia="方正小标宋简体" w:cs="Times New Roman"/>
          <w:b w:val="0"/>
          <w:bCs w:val="0"/>
          <w:sz w:val="48"/>
          <w:szCs w:val="48"/>
        </w:rPr>
        <w:t>总体布局方案</w:t>
      </w:r>
    </w:p>
    <w:p>
      <w:pPr>
        <w:pStyle w:val="8"/>
        <w:keepNext w:val="0"/>
        <w:keepLines w:val="0"/>
        <w:pageBreakBefore w:val="0"/>
        <w:widowControl w:val="0"/>
        <w:kinsoku w:val="0"/>
        <w:wordWrap/>
        <w:overflowPunct w:val="0"/>
        <w:topLinePunct w:val="0"/>
        <w:autoSpaceDE/>
        <w:autoSpaceDN/>
        <w:bidi w:val="0"/>
        <w:adjustRightInd/>
        <w:snapToGrid/>
        <w:spacing w:beforeLines="0" w:after="157" w:afterLines="50" w:line="252" w:lineRule="auto"/>
        <w:ind w:left="0" w:leftChars="0" w:firstLine="0" w:firstLineChars="0"/>
        <w:jc w:val="center"/>
        <w:textAlignment w:val="auto"/>
        <w:rPr>
          <w:rFonts w:hint="default" w:ascii="Times New Roman" w:hAnsi="Times New Roman" w:eastAsia="方正小标宋简体" w:cs="Times New Roman"/>
          <w:b w:val="0"/>
          <w:bCs w:val="0"/>
          <w:sz w:val="48"/>
          <w:szCs w:val="48"/>
          <w:lang w:eastAsia="zh-CN"/>
        </w:rPr>
      </w:pPr>
      <w:r>
        <w:rPr>
          <w:rFonts w:hint="eastAsia" w:eastAsia="方正小标宋简体" w:cs="Times New Roman"/>
          <w:b w:val="0"/>
          <w:bCs w:val="0"/>
          <w:sz w:val="48"/>
          <w:szCs w:val="48"/>
          <w:lang w:eastAsia="zh-CN"/>
        </w:rPr>
        <w:t>（征求意见稿</w:t>
      </w:r>
      <w:bookmarkStart w:id="227" w:name="_GoBack"/>
      <w:bookmarkEnd w:id="227"/>
      <w:r>
        <w:rPr>
          <w:rFonts w:hint="eastAsia" w:eastAsia="方正小标宋简体" w:cs="Times New Roman"/>
          <w:b w:val="0"/>
          <w:bCs w:val="0"/>
          <w:sz w:val="48"/>
          <w:szCs w:val="48"/>
          <w:lang w:eastAsia="zh-CN"/>
        </w:rPr>
        <w:t>）</w:t>
      </w:r>
    </w:p>
    <w:p>
      <w:pPr>
        <w:pStyle w:val="8"/>
        <w:kinsoku w:val="0"/>
        <w:overflowPunct w:val="0"/>
        <w:spacing w:beforeLines="0" w:afterLines="0"/>
        <w:rPr>
          <w:rFonts w:hint="default" w:ascii="Times New Roman" w:hAnsi="Times New Roman" w:eastAsia="仿宋_GB2312" w:cs="Times New Roman"/>
          <w:b/>
          <w:sz w:val="48"/>
          <w:szCs w:val="24"/>
        </w:rPr>
      </w:pPr>
    </w:p>
    <w:p>
      <w:pPr>
        <w:pStyle w:val="8"/>
        <w:kinsoku w:val="0"/>
        <w:overflowPunct w:val="0"/>
        <w:spacing w:before="9" w:beforeLines="0" w:afterLines="0"/>
        <w:rPr>
          <w:rFonts w:hint="default" w:ascii="Times New Roman" w:hAnsi="Times New Roman" w:eastAsia="仿宋_GB2312" w:cs="Times New Roman"/>
          <w:b/>
          <w:sz w:val="71"/>
          <w:szCs w:val="24"/>
        </w:rPr>
      </w:pPr>
    </w:p>
    <w:p>
      <w:pPr>
        <w:pStyle w:val="8"/>
        <w:kinsoku w:val="0"/>
        <w:overflowPunct w:val="0"/>
        <w:spacing w:before="9" w:beforeLines="0" w:afterLines="0"/>
        <w:rPr>
          <w:rFonts w:hint="default" w:ascii="Times New Roman" w:hAnsi="Times New Roman" w:eastAsia="仿宋_GB2312" w:cs="Times New Roman"/>
          <w:b/>
          <w:sz w:val="71"/>
          <w:szCs w:val="24"/>
        </w:rPr>
      </w:pPr>
    </w:p>
    <w:p>
      <w:pPr>
        <w:pStyle w:val="3"/>
        <w:kinsoku w:val="0"/>
        <w:overflowPunct w:val="0"/>
        <w:spacing w:before="0" w:beforeLines="0" w:afterLines="0" w:line="340" w:lineRule="auto"/>
        <w:ind w:left="1348" w:right="1606" w:firstLine="0"/>
        <w:jc w:val="left"/>
        <w:outlineLvl w:val="9"/>
        <w:rPr>
          <w:rFonts w:hint="default" w:ascii="Times New Roman" w:hAnsi="Times New Roman" w:eastAsia="黑体" w:cs="Times New Roman"/>
          <w:w w:val="95"/>
          <w:sz w:val="32"/>
          <w:szCs w:val="32"/>
        </w:rPr>
      </w:pPr>
    </w:p>
    <w:p>
      <w:pPr>
        <w:pStyle w:val="3"/>
        <w:kinsoku w:val="0"/>
        <w:overflowPunct w:val="0"/>
        <w:spacing w:before="0" w:beforeLines="0" w:afterLines="0" w:line="340" w:lineRule="auto"/>
        <w:ind w:left="1348" w:right="1606" w:firstLine="0"/>
        <w:jc w:val="left"/>
        <w:outlineLvl w:val="9"/>
        <w:rPr>
          <w:rFonts w:hint="default" w:ascii="Times New Roman" w:hAnsi="Times New Roman" w:eastAsia="黑体" w:cs="Times New Roman"/>
          <w:w w:val="95"/>
          <w:sz w:val="32"/>
          <w:szCs w:val="32"/>
        </w:rPr>
      </w:pPr>
    </w:p>
    <w:p>
      <w:pPr>
        <w:pStyle w:val="3"/>
        <w:kinsoku w:val="0"/>
        <w:overflowPunct w:val="0"/>
        <w:spacing w:before="0" w:beforeLines="0" w:afterLines="0" w:line="340" w:lineRule="auto"/>
        <w:ind w:left="1348" w:right="1606" w:firstLine="0"/>
        <w:jc w:val="left"/>
        <w:outlineLvl w:val="9"/>
        <w:rPr>
          <w:rFonts w:hint="default" w:ascii="Times New Roman" w:hAnsi="Times New Roman" w:eastAsia="黑体" w:cs="Times New Roman"/>
          <w:w w:val="95"/>
          <w:sz w:val="32"/>
          <w:szCs w:val="32"/>
        </w:rPr>
      </w:pPr>
    </w:p>
    <w:p>
      <w:pPr>
        <w:bidi w:val="0"/>
        <w:ind w:firstLine="1280" w:firstLineChars="400"/>
        <w:jc w:val="both"/>
        <w:rPr>
          <w:rFonts w:hint="default" w:ascii="Times New Roman" w:hAnsi="Times New Roman" w:eastAsia="仿宋_GB2312" w:cs="Times New Roman"/>
          <w:b w:val="0"/>
          <w:bCs w:val="0"/>
          <w:sz w:val="32"/>
          <w:szCs w:val="32"/>
          <w:lang w:val="en-US" w:eastAsia="zh-CN"/>
        </w:rPr>
      </w:pPr>
    </w:p>
    <w:p>
      <w:pPr>
        <w:bidi w:val="0"/>
        <w:ind w:firstLine="1280" w:firstLineChars="400"/>
        <w:jc w:val="both"/>
        <w:rPr>
          <w:rFonts w:hint="default" w:ascii="Times New Roman" w:hAnsi="Times New Roman" w:eastAsia="仿宋_GB2312" w:cs="Times New Roman"/>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三亚市天涯区商务局</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eastAsia" w:ascii="方正仿宋_GBK" w:hAnsi="方正仿宋_GBK" w:eastAsia="方正仿宋_GBK" w:cs="方正仿宋_GBK"/>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bCs/>
          <w:sz w:val="32"/>
          <w:szCs w:val="32"/>
          <w:highlight w:val="none"/>
          <w:lang w:val="en-US" w:eastAsia="zh-CN"/>
        </w:rPr>
        <w:t>二〇二六年八月</w:t>
      </w:r>
    </w:p>
    <w:p>
      <w:pPr>
        <w:pStyle w:val="4"/>
        <w:rPr>
          <w:rFonts w:hint="default" w:ascii="Times New Roman" w:hAnsi="Times New Roman" w:cs="Times New Roman"/>
          <w:lang w:val="en-US" w:eastAsia="zh-CN"/>
        </w:rPr>
        <w:sectPr>
          <w:pgSz w:w="11905" w:h="16838"/>
          <w:pgMar w:top="2098" w:right="1474" w:bottom="1984" w:left="1587" w:header="851" w:footer="992" w:gutter="0"/>
          <w:pgNumType w:fmt="decimal"/>
          <w:cols w:space="0" w:num="1"/>
          <w:rtlGutter w:val="0"/>
          <w:docGrid w:type="lines" w:linePitch="439" w:charSpace="0"/>
        </w:sectPr>
      </w:pPr>
    </w:p>
    <w:p>
      <w:pPr>
        <w:rPr>
          <w:rFonts w:hint="default"/>
          <w:lang w:val="en-US" w:eastAsia="zh-CN"/>
        </w:rPr>
        <w:sectPr>
          <w:pgSz w:w="11905" w:h="16838"/>
          <w:pgMar w:top="2098" w:right="1474" w:bottom="1984" w:left="1587" w:header="851" w:footer="992" w:gutter="0"/>
          <w:pgNumType w:fmt="decimal"/>
          <w:cols w:space="0" w:num="1"/>
          <w:rtlGutter w:val="0"/>
          <w:docGrid w:type="lines" w:linePitch="439" w:charSpace="0"/>
        </w:sectPr>
      </w:pPr>
    </w:p>
    <w:p>
      <w:pPr>
        <w:tabs>
          <w:tab w:val="right" w:leader="dot" w:pos="8296"/>
        </w:tabs>
        <w:spacing w:before="120" w:after="120" w:line="560" w:lineRule="exact"/>
        <w:jc w:val="center"/>
        <w:rPr>
          <w:rFonts w:hint="eastAsia" w:eastAsia="方正小标宋简体" w:cs="方正小标宋简体"/>
          <w:snapToGrid w:val="0"/>
          <w:kern w:val="2"/>
          <w:sz w:val="32"/>
          <w:szCs w:val="32"/>
        </w:rPr>
      </w:pPr>
      <w:r>
        <w:rPr>
          <w:rFonts w:hint="eastAsia" w:eastAsia="方正小标宋简体" w:cs="方正小标宋简体"/>
          <w:snapToGrid w:val="0"/>
          <w:kern w:val="2"/>
          <w:sz w:val="32"/>
          <w:szCs w:val="32"/>
        </w:rPr>
        <w:t>目  录</w:t>
      </w:r>
    </w:p>
    <w:p>
      <w:pPr>
        <w:pStyle w:val="14"/>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sz w:val="28"/>
          <w:szCs w:val="28"/>
          <w:lang w:val="en-US" w:eastAsia="zh-CN"/>
        </w:rPr>
        <w:fldChar w:fldCharType="begin"/>
      </w:r>
      <w:r>
        <w:rPr>
          <w:rFonts w:hint="default" w:ascii="Times New Roman" w:hAnsi="Times New Roman" w:eastAsia="仿宋_GB2312" w:cs="Times New Roman"/>
          <w:sz w:val="28"/>
          <w:szCs w:val="28"/>
          <w:lang w:val="en-US" w:eastAsia="zh-CN"/>
        </w:rPr>
        <w:instrText xml:space="preserve">TOC \o "1-4" \h \u </w:instrText>
      </w:r>
      <w:r>
        <w:rPr>
          <w:rFonts w:hint="default" w:ascii="Times New Roman" w:hAnsi="Times New Roman" w:eastAsia="仿宋_GB2312" w:cs="Times New Roman"/>
          <w:sz w:val="28"/>
          <w:szCs w:val="28"/>
          <w:lang w:val="en-US" w:eastAsia="zh-CN"/>
        </w:rPr>
        <w:fldChar w:fldCharType="separate"/>
      </w:r>
      <w:r>
        <w:rPr>
          <w:rFonts w:hint="default" w:ascii="Times New Roman" w:hAnsi="Times New Roman" w:eastAsia="仿宋_GB2312" w:cs="Times New Roman"/>
          <w:b/>
          <w:bCs/>
          <w:sz w:val="28"/>
          <w:szCs w:val="28"/>
          <w:lang w:val="en-US" w:eastAsia="zh-CN"/>
        </w:rPr>
        <w:fldChar w:fldCharType="begin"/>
      </w:r>
      <w:r>
        <w:rPr>
          <w:rFonts w:hint="default" w:ascii="Times New Roman" w:hAnsi="Times New Roman" w:eastAsia="仿宋_GB2312" w:cs="Times New Roman"/>
          <w:b/>
          <w:bCs/>
          <w:sz w:val="28"/>
          <w:szCs w:val="28"/>
          <w:lang w:val="en-US" w:eastAsia="zh-CN"/>
        </w:rPr>
        <w:instrText xml:space="preserve"> HYPERLINK \l _Toc18333 </w:instrText>
      </w:r>
      <w:r>
        <w:rPr>
          <w:rFonts w:hint="default" w:ascii="Times New Roman" w:hAnsi="Times New Roman" w:eastAsia="仿宋_GB2312" w:cs="Times New Roman"/>
          <w:b/>
          <w:bCs/>
          <w:sz w:val="28"/>
          <w:szCs w:val="28"/>
          <w:lang w:val="en-US" w:eastAsia="zh-CN"/>
        </w:rPr>
        <w:fldChar w:fldCharType="separate"/>
      </w:r>
      <w:r>
        <w:rPr>
          <w:rFonts w:hint="default" w:ascii="Times New Roman" w:hAnsi="Times New Roman" w:eastAsia="仿宋_GB2312" w:cs="Times New Roman"/>
          <w:b/>
          <w:bCs/>
          <w:kern w:val="44"/>
          <w:sz w:val="28"/>
          <w:szCs w:val="28"/>
        </w:rPr>
        <w:t>第一章  发展基础</w:t>
      </w:r>
      <w:r>
        <w:rPr>
          <w:rFonts w:hint="default" w:ascii="Times New Roman" w:hAnsi="Times New Roman" w:eastAsia="仿宋_GB2312" w:cs="Times New Roman"/>
          <w:b/>
          <w:bCs/>
          <w:sz w:val="28"/>
          <w:szCs w:val="28"/>
        </w:rPr>
        <w:tab/>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PAGEREF _Toc18333 \h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1</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lang w:val="en-US" w:eastAsia="zh-CN"/>
        </w:rPr>
        <w:fldChar w:fldCharType="end"/>
      </w:r>
    </w:p>
    <w:p>
      <w:pPr>
        <w:pStyle w:val="9"/>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fldChar w:fldCharType="begin"/>
      </w:r>
      <w:r>
        <w:rPr>
          <w:rFonts w:hint="default" w:ascii="Times New Roman" w:hAnsi="Times New Roman" w:eastAsia="仿宋_GB2312" w:cs="Times New Roman"/>
          <w:sz w:val="28"/>
          <w:szCs w:val="28"/>
          <w:lang w:val="en-US" w:eastAsia="zh-CN"/>
        </w:rPr>
        <w:instrText xml:space="preserve"> HYPERLINK \l _Toc32233 </w:instrText>
      </w:r>
      <w:r>
        <w:rPr>
          <w:rFonts w:hint="default" w:ascii="Times New Roman" w:hAnsi="Times New Roman" w:eastAsia="仿宋_GB2312" w:cs="Times New Roman"/>
          <w:sz w:val="28"/>
          <w:szCs w:val="28"/>
          <w:lang w:val="en-US" w:eastAsia="zh-CN"/>
        </w:rPr>
        <w:fldChar w:fldCharType="separate"/>
      </w:r>
      <w:r>
        <w:rPr>
          <w:rFonts w:hint="default" w:ascii="Times New Roman" w:hAnsi="Times New Roman" w:eastAsia="仿宋_GB2312" w:cs="Times New Roman"/>
          <w:bCs/>
          <w:kern w:val="2"/>
          <w:sz w:val="28"/>
          <w:szCs w:val="28"/>
        </w:rPr>
        <w:t>第一节 发展现状</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_Toc32233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1</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lang w:val="en-US" w:eastAsia="zh-CN"/>
        </w:rPr>
        <w:fldChar w:fldCharType="end"/>
      </w:r>
    </w:p>
    <w:p>
      <w:pPr>
        <w:pStyle w:val="9"/>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fldChar w:fldCharType="begin"/>
      </w:r>
      <w:r>
        <w:rPr>
          <w:rFonts w:hint="default" w:ascii="Times New Roman" w:hAnsi="Times New Roman" w:eastAsia="仿宋_GB2312" w:cs="Times New Roman"/>
          <w:sz w:val="28"/>
          <w:szCs w:val="28"/>
          <w:lang w:val="en-US" w:eastAsia="zh-CN"/>
        </w:rPr>
        <w:instrText xml:space="preserve"> HYPERLINK \l _Toc1522 </w:instrText>
      </w:r>
      <w:r>
        <w:rPr>
          <w:rFonts w:hint="default" w:ascii="Times New Roman" w:hAnsi="Times New Roman" w:eastAsia="仿宋_GB2312" w:cs="Times New Roman"/>
          <w:sz w:val="28"/>
          <w:szCs w:val="28"/>
          <w:lang w:val="en-US" w:eastAsia="zh-CN"/>
        </w:rPr>
        <w:fldChar w:fldCharType="separate"/>
      </w:r>
      <w:r>
        <w:rPr>
          <w:rFonts w:hint="default" w:ascii="Times New Roman" w:hAnsi="Times New Roman" w:eastAsia="仿宋_GB2312" w:cs="Times New Roman"/>
          <w:bCs/>
          <w:sz w:val="28"/>
          <w:szCs w:val="28"/>
          <w:highlight w:val="none"/>
          <w:lang w:val="en-US" w:eastAsia="zh-CN"/>
        </w:rPr>
        <w:t>第二节 面临形式</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_Toc1522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1</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lang w:val="en-US" w:eastAsia="zh-CN"/>
        </w:rPr>
        <w:fldChar w:fldCharType="end"/>
      </w:r>
    </w:p>
    <w:p>
      <w:pPr>
        <w:pStyle w:val="9"/>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fldChar w:fldCharType="begin"/>
      </w:r>
      <w:r>
        <w:rPr>
          <w:rFonts w:hint="default" w:ascii="Times New Roman" w:hAnsi="Times New Roman" w:eastAsia="仿宋_GB2312" w:cs="Times New Roman"/>
          <w:sz w:val="28"/>
          <w:szCs w:val="28"/>
          <w:lang w:val="en-US" w:eastAsia="zh-CN"/>
        </w:rPr>
        <w:instrText xml:space="preserve"> HYPERLINK \l _Toc7744 </w:instrText>
      </w:r>
      <w:r>
        <w:rPr>
          <w:rFonts w:hint="default" w:ascii="Times New Roman" w:hAnsi="Times New Roman" w:eastAsia="仿宋_GB2312" w:cs="Times New Roman"/>
          <w:sz w:val="28"/>
          <w:szCs w:val="28"/>
          <w:lang w:val="en-US" w:eastAsia="zh-CN"/>
        </w:rPr>
        <w:fldChar w:fldCharType="separate"/>
      </w:r>
      <w:r>
        <w:rPr>
          <w:rFonts w:hint="default" w:ascii="Times New Roman" w:hAnsi="Times New Roman" w:eastAsia="仿宋_GB2312" w:cs="Times New Roman"/>
          <w:bCs/>
          <w:sz w:val="28"/>
          <w:szCs w:val="28"/>
          <w:highlight w:val="none"/>
          <w:lang w:val="en-US" w:eastAsia="zh-CN"/>
        </w:rPr>
        <w:t>第三节 分析预测</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_Toc7744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3</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lang w:val="en-US" w:eastAsia="zh-CN"/>
        </w:rPr>
        <w:fldChar w:fldCharType="end"/>
      </w:r>
    </w:p>
    <w:p>
      <w:pPr>
        <w:pStyle w:val="14"/>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lang w:val="en-US" w:eastAsia="zh-CN"/>
        </w:rPr>
        <w:fldChar w:fldCharType="begin"/>
      </w:r>
      <w:r>
        <w:rPr>
          <w:rFonts w:hint="default" w:ascii="Times New Roman" w:hAnsi="Times New Roman" w:eastAsia="仿宋_GB2312" w:cs="Times New Roman"/>
          <w:b/>
          <w:bCs/>
          <w:sz w:val="28"/>
          <w:szCs w:val="28"/>
          <w:lang w:val="en-US" w:eastAsia="zh-CN"/>
        </w:rPr>
        <w:instrText xml:space="preserve"> HYPERLINK \l _Toc17977 </w:instrText>
      </w:r>
      <w:r>
        <w:rPr>
          <w:rFonts w:hint="default" w:ascii="Times New Roman" w:hAnsi="Times New Roman" w:eastAsia="仿宋_GB2312" w:cs="Times New Roman"/>
          <w:b/>
          <w:bCs/>
          <w:sz w:val="28"/>
          <w:szCs w:val="28"/>
          <w:lang w:val="en-US" w:eastAsia="zh-CN"/>
        </w:rPr>
        <w:fldChar w:fldCharType="separate"/>
      </w:r>
      <w:r>
        <w:rPr>
          <w:rFonts w:hint="default" w:ascii="Times New Roman" w:hAnsi="Times New Roman" w:eastAsia="仿宋_GB2312" w:cs="Times New Roman"/>
          <w:b/>
          <w:bCs/>
          <w:kern w:val="44"/>
          <w:sz w:val="28"/>
          <w:szCs w:val="28"/>
          <w:lang w:val="en-US" w:eastAsia="zh-CN"/>
        </w:rPr>
        <w:t>第二章  规划要求</w:t>
      </w:r>
      <w:r>
        <w:rPr>
          <w:rFonts w:hint="default" w:ascii="Times New Roman" w:hAnsi="Times New Roman" w:eastAsia="仿宋_GB2312" w:cs="Times New Roman"/>
          <w:b/>
          <w:bCs/>
          <w:sz w:val="28"/>
          <w:szCs w:val="28"/>
        </w:rPr>
        <w:tab/>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PAGEREF _Toc17977 \h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1</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lang w:val="en-US" w:eastAsia="zh-CN"/>
        </w:rPr>
        <w:fldChar w:fldCharType="end"/>
      </w:r>
    </w:p>
    <w:p>
      <w:pPr>
        <w:pStyle w:val="9"/>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fldChar w:fldCharType="begin"/>
      </w:r>
      <w:r>
        <w:rPr>
          <w:rFonts w:hint="default" w:ascii="Times New Roman" w:hAnsi="Times New Roman" w:eastAsia="仿宋_GB2312" w:cs="Times New Roman"/>
          <w:sz w:val="28"/>
          <w:szCs w:val="28"/>
          <w:lang w:val="en-US" w:eastAsia="zh-CN"/>
        </w:rPr>
        <w:instrText xml:space="preserve"> HYPERLINK \l _Toc17347 </w:instrText>
      </w:r>
      <w:r>
        <w:rPr>
          <w:rFonts w:hint="default" w:ascii="Times New Roman" w:hAnsi="Times New Roman" w:eastAsia="仿宋_GB2312" w:cs="Times New Roman"/>
          <w:sz w:val="28"/>
          <w:szCs w:val="28"/>
          <w:lang w:val="en-US" w:eastAsia="zh-CN"/>
        </w:rPr>
        <w:fldChar w:fldCharType="separate"/>
      </w:r>
      <w:r>
        <w:rPr>
          <w:rFonts w:hint="default" w:ascii="Times New Roman" w:hAnsi="Times New Roman" w:eastAsia="仿宋_GB2312" w:cs="Times New Roman"/>
          <w:bCs/>
          <w:sz w:val="28"/>
          <w:szCs w:val="28"/>
          <w:highlight w:val="none"/>
          <w:lang w:val="en-US" w:eastAsia="zh-CN"/>
        </w:rPr>
        <w:t>第一节 法律法规</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_Toc17347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1</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lang w:val="en-US" w:eastAsia="zh-CN"/>
        </w:rPr>
        <w:fldChar w:fldCharType="end"/>
      </w:r>
    </w:p>
    <w:p>
      <w:pPr>
        <w:pStyle w:val="9"/>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fldChar w:fldCharType="begin"/>
      </w:r>
      <w:r>
        <w:rPr>
          <w:rFonts w:hint="default" w:ascii="Times New Roman" w:hAnsi="Times New Roman" w:eastAsia="仿宋_GB2312" w:cs="Times New Roman"/>
          <w:sz w:val="28"/>
          <w:szCs w:val="28"/>
          <w:lang w:val="en-US" w:eastAsia="zh-CN"/>
        </w:rPr>
        <w:instrText xml:space="preserve"> HYPERLINK \l _Toc13778 </w:instrText>
      </w:r>
      <w:r>
        <w:rPr>
          <w:rFonts w:hint="default" w:ascii="Times New Roman" w:hAnsi="Times New Roman" w:eastAsia="仿宋_GB2312" w:cs="Times New Roman"/>
          <w:sz w:val="28"/>
          <w:szCs w:val="28"/>
          <w:lang w:val="en-US" w:eastAsia="zh-CN"/>
        </w:rPr>
        <w:fldChar w:fldCharType="separate"/>
      </w:r>
      <w:r>
        <w:rPr>
          <w:rFonts w:hint="default" w:ascii="Times New Roman" w:hAnsi="Times New Roman" w:eastAsia="仿宋_GB2312" w:cs="Times New Roman"/>
          <w:bCs/>
          <w:sz w:val="28"/>
          <w:szCs w:val="28"/>
          <w:highlight w:val="none"/>
          <w:lang w:val="en-US" w:eastAsia="zh-CN"/>
        </w:rPr>
        <w:t>第二节 标准规范</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_Toc13778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1</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lang w:val="en-US" w:eastAsia="zh-CN"/>
        </w:rPr>
        <w:fldChar w:fldCharType="end"/>
      </w:r>
    </w:p>
    <w:p>
      <w:pPr>
        <w:pStyle w:val="9"/>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fldChar w:fldCharType="begin"/>
      </w:r>
      <w:r>
        <w:rPr>
          <w:rFonts w:hint="default" w:ascii="Times New Roman" w:hAnsi="Times New Roman" w:eastAsia="仿宋_GB2312" w:cs="Times New Roman"/>
          <w:sz w:val="28"/>
          <w:szCs w:val="28"/>
          <w:lang w:val="en-US" w:eastAsia="zh-CN"/>
        </w:rPr>
        <w:instrText xml:space="preserve"> HYPERLINK \l _Toc29773 </w:instrText>
      </w:r>
      <w:r>
        <w:rPr>
          <w:rFonts w:hint="default" w:ascii="Times New Roman" w:hAnsi="Times New Roman" w:eastAsia="仿宋_GB2312" w:cs="Times New Roman"/>
          <w:sz w:val="28"/>
          <w:szCs w:val="28"/>
          <w:lang w:val="en-US" w:eastAsia="zh-CN"/>
        </w:rPr>
        <w:fldChar w:fldCharType="separate"/>
      </w:r>
      <w:r>
        <w:rPr>
          <w:rFonts w:hint="default" w:ascii="Times New Roman" w:hAnsi="Times New Roman" w:eastAsia="仿宋_GB2312" w:cs="Times New Roman"/>
          <w:bCs/>
          <w:sz w:val="28"/>
          <w:szCs w:val="28"/>
          <w:highlight w:val="none"/>
          <w:lang w:val="en-US" w:eastAsia="zh-CN"/>
        </w:rPr>
        <w:t>第三节 政策文件</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_Toc29773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2</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lang w:val="en-US" w:eastAsia="zh-CN"/>
        </w:rPr>
        <w:fldChar w:fldCharType="end"/>
      </w:r>
    </w:p>
    <w:p>
      <w:pPr>
        <w:pStyle w:val="9"/>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fldChar w:fldCharType="begin"/>
      </w:r>
      <w:r>
        <w:rPr>
          <w:rFonts w:hint="default" w:ascii="Times New Roman" w:hAnsi="Times New Roman" w:eastAsia="仿宋_GB2312" w:cs="Times New Roman"/>
          <w:sz w:val="28"/>
          <w:szCs w:val="28"/>
          <w:lang w:val="en-US" w:eastAsia="zh-CN"/>
        </w:rPr>
        <w:instrText xml:space="preserve"> HYPERLINK \l _Toc15575 </w:instrText>
      </w:r>
      <w:r>
        <w:rPr>
          <w:rFonts w:hint="default" w:ascii="Times New Roman" w:hAnsi="Times New Roman" w:eastAsia="仿宋_GB2312" w:cs="Times New Roman"/>
          <w:sz w:val="28"/>
          <w:szCs w:val="28"/>
          <w:lang w:val="en-US" w:eastAsia="zh-CN"/>
        </w:rPr>
        <w:fldChar w:fldCharType="separate"/>
      </w:r>
      <w:r>
        <w:rPr>
          <w:rFonts w:hint="default" w:ascii="Times New Roman" w:hAnsi="Times New Roman" w:eastAsia="仿宋_GB2312" w:cs="Times New Roman"/>
          <w:bCs/>
          <w:sz w:val="28"/>
          <w:szCs w:val="28"/>
          <w:highlight w:val="none"/>
          <w:lang w:val="en-US" w:eastAsia="zh-CN"/>
        </w:rPr>
        <w:t>第四节 指导思想</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_Toc15575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4</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lang w:val="en-US" w:eastAsia="zh-CN"/>
        </w:rPr>
        <w:fldChar w:fldCharType="end"/>
      </w:r>
    </w:p>
    <w:p>
      <w:pPr>
        <w:pStyle w:val="9"/>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fldChar w:fldCharType="begin"/>
      </w:r>
      <w:r>
        <w:rPr>
          <w:rFonts w:hint="default" w:ascii="Times New Roman" w:hAnsi="Times New Roman" w:eastAsia="仿宋_GB2312" w:cs="Times New Roman"/>
          <w:sz w:val="28"/>
          <w:szCs w:val="28"/>
          <w:lang w:val="en-US" w:eastAsia="zh-CN"/>
        </w:rPr>
        <w:instrText xml:space="preserve"> HYPERLINK \l _Toc20862 </w:instrText>
      </w:r>
      <w:r>
        <w:rPr>
          <w:rFonts w:hint="default" w:ascii="Times New Roman" w:hAnsi="Times New Roman" w:eastAsia="仿宋_GB2312" w:cs="Times New Roman"/>
          <w:sz w:val="28"/>
          <w:szCs w:val="28"/>
          <w:lang w:val="en-US" w:eastAsia="zh-CN"/>
        </w:rPr>
        <w:fldChar w:fldCharType="separate"/>
      </w:r>
      <w:r>
        <w:rPr>
          <w:rFonts w:hint="default" w:ascii="Times New Roman" w:hAnsi="Times New Roman" w:eastAsia="仿宋_GB2312" w:cs="Times New Roman"/>
          <w:bCs/>
          <w:sz w:val="28"/>
          <w:szCs w:val="28"/>
          <w:highlight w:val="none"/>
          <w:lang w:val="en-US" w:eastAsia="zh-CN"/>
        </w:rPr>
        <w:t>第五节 基本原则</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_Toc20862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4</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lang w:val="en-US" w:eastAsia="zh-CN"/>
        </w:rPr>
        <w:fldChar w:fldCharType="end"/>
      </w:r>
    </w:p>
    <w:p>
      <w:pPr>
        <w:pStyle w:val="9"/>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fldChar w:fldCharType="begin"/>
      </w:r>
      <w:r>
        <w:rPr>
          <w:rFonts w:hint="default" w:ascii="Times New Roman" w:hAnsi="Times New Roman" w:eastAsia="仿宋_GB2312" w:cs="Times New Roman"/>
          <w:sz w:val="28"/>
          <w:szCs w:val="28"/>
          <w:lang w:val="en-US" w:eastAsia="zh-CN"/>
        </w:rPr>
        <w:instrText xml:space="preserve"> HYPERLINK \l _Toc15700 </w:instrText>
      </w:r>
      <w:r>
        <w:rPr>
          <w:rFonts w:hint="default" w:ascii="Times New Roman" w:hAnsi="Times New Roman" w:eastAsia="仿宋_GB2312" w:cs="Times New Roman"/>
          <w:sz w:val="28"/>
          <w:szCs w:val="28"/>
          <w:lang w:val="en-US" w:eastAsia="zh-CN"/>
        </w:rPr>
        <w:fldChar w:fldCharType="separate"/>
      </w:r>
      <w:r>
        <w:rPr>
          <w:rFonts w:hint="default" w:ascii="Times New Roman" w:hAnsi="Times New Roman" w:eastAsia="仿宋_GB2312" w:cs="Times New Roman"/>
          <w:bCs/>
          <w:sz w:val="28"/>
          <w:szCs w:val="28"/>
          <w:highlight w:val="none"/>
          <w:lang w:val="en-US" w:eastAsia="zh-CN"/>
        </w:rPr>
        <w:t>第六节 布局原则</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_Toc15700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5</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lang w:val="en-US" w:eastAsia="zh-CN"/>
        </w:rPr>
        <w:fldChar w:fldCharType="end"/>
      </w:r>
    </w:p>
    <w:p>
      <w:pPr>
        <w:pStyle w:val="9"/>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fldChar w:fldCharType="begin"/>
      </w:r>
      <w:r>
        <w:rPr>
          <w:rFonts w:hint="default" w:ascii="Times New Roman" w:hAnsi="Times New Roman" w:eastAsia="仿宋_GB2312" w:cs="Times New Roman"/>
          <w:sz w:val="28"/>
          <w:szCs w:val="28"/>
          <w:lang w:val="en-US" w:eastAsia="zh-CN"/>
        </w:rPr>
        <w:instrText xml:space="preserve"> HYPERLINK \l _Toc1423 </w:instrText>
      </w:r>
      <w:r>
        <w:rPr>
          <w:rFonts w:hint="default" w:ascii="Times New Roman" w:hAnsi="Times New Roman" w:eastAsia="仿宋_GB2312" w:cs="Times New Roman"/>
          <w:sz w:val="28"/>
          <w:szCs w:val="28"/>
          <w:lang w:val="en-US" w:eastAsia="zh-CN"/>
        </w:rPr>
        <w:fldChar w:fldCharType="separate"/>
      </w:r>
      <w:r>
        <w:rPr>
          <w:rFonts w:hint="default" w:ascii="Times New Roman" w:hAnsi="Times New Roman" w:eastAsia="仿宋_GB2312" w:cs="Times New Roman"/>
          <w:bCs/>
          <w:sz w:val="28"/>
          <w:szCs w:val="28"/>
          <w:highlight w:val="none"/>
          <w:lang w:val="en-US" w:eastAsia="zh-CN"/>
        </w:rPr>
        <w:t>第七节 发展目标</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_Toc1423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7</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lang w:val="en-US" w:eastAsia="zh-CN"/>
        </w:rPr>
        <w:fldChar w:fldCharType="end"/>
      </w:r>
    </w:p>
    <w:p>
      <w:pPr>
        <w:pStyle w:val="14"/>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b/>
          <w:bCs/>
          <w:sz w:val="28"/>
          <w:szCs w:val="28"/>
          <w:lang w:val="en-US" w:eastAsia="zh-CN"/>
        </w:rPr>
        <w:fldChar w:fldCharType="begin"/>
      </w:r>
      <w:r>
        <w:rPr>
          <w:rFonts w:hint="default" w:ascii="Times New Roman" w:hAnsi="Times New Roman" w:eastAsia="仿宋_GB2312" w:cs="Times New Roman"/>
          <w:b/>
          <w:bCs/>
          <w:sz w:val="28"/>
          <w:szCs w:val="28"/>
          <w:lang w:val="en-US" w:eastAsia="zh-CN"/>
        </w:rPr>
        <w:instrText xml:space="preserve"> HYPERLINK \l _Toc24920 </w:instrText>
      </w:r>
      <w:r>
        <w:rPr>
          <w:rFonts w:hint="default" w:ascii="Times New Roman" w:hAnsi="Times New Roman" w:eastAsia="仿宋_GB2312" w:cs="Times New Roman"/>
          <w:b/>
          <w:bCs/>
          <w:sz w:val="28"/>
          <w:szCs w:val="28"/>
          <w:lang w:val="en-US" w:eastAsia="zh-CN"/>
        </w:rPr>
        <w:fldChar w:fldCharType="separate"/>
      </w:r>
      <w:r>
        <w:rPr>
          <w:rFonts w:hint="default" w:ascii="Times New Roman" w:hAnsi="Times New Roman" w:eastAsia="仿宋_GB2312" w:cs="Times New Roman"/>
          <w:b/>
          <w:bCs/>
          <w:kern w:val="44"/>
          <w:sz w:val="28"/>
          <w:szCs w:val="28"/>
          <w:lang w:val="en-US" w:eastAsia="zh-CN"/>
        </w:rPr>
        <w:t>第三章  规划布局</w:t>
      </w:r>
      <w:r>
        <w:rPr>
          <w:rFonts w:hint="default" w:ascii="Times New Roman" w:hAnsi="Times New Roman" w:eastAsia="仿宋_GB2312" w:cs="Times New Roman"/>
          <w:b/>
          <w:bCs/>
          <w:sz w:val="28"/>
          <w:szCs w:val="28"/>
        </w:rPr>
        <w:tab/>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PAGEREF _Toc24920 \h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9</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lang w:val="en-US" w:eastAsia="zh-CN"/>
        </w:rPr>
        <w:fldChar w:fldCharType="end"/>
      </w:r>
    </w:p>
    <w:p>
      <w:pPr>
        <w:pStyle w:val="9"/>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fldChar w:fldCharType="begin"/>
      </w:r>
      <w:r>
        <w:rPr>
          <w:rFonts w:hint="default" w:ascii="Times New Roman" w:hAnsi="Times New Roman" w:eastAsia="仿宋_GB2312" w:cs="Times New Roman"/>
          <w:sz w:val="28"/>
          <w:szCs w:val="28"/>
          <w:lang w:val="en-US" w:eastAsia="zh-CN"/>
        </w:rPr>
        <w:instrText xml:space="preserve"> HYPERLINK \l _Toc28206 </w:instrText>
      </w:r>
      <w:r>
        <w:rPr>
          <w:rFonts w:hint="default" w:ascii="Times New Roman" w:hAnsi="Times New Roman" w:eastAsia="仿宋_GB2312" w:cs="Times New Roman"/>
          <w:sz w:val="28"/>
          <w:szCs w:val="28"/>
          <w:lang w:val="en-US" w:eastAsia="zh-CN"/>
        </w:rPr>
        <w:fldChar w:fldCharType="separate"/>
      </w:r>
      <w:r>
        <w:rPr>
          <w:rFonts w:hint="default" w:ascii="Times New Roman" w:hAnsi="Times New Roman" w:eastAsia="仿宋_GB2312" w:cs="Times New Roman"/>
          <w:bCs/>
          <w:sz w:val="28"/>
          <w:szCs w:val="28"/>
          <w:highlight w:val="none"/>
          <w:lang w:val="en-US" w:eastAsia="zh-CN"/>
        </w:rPr>
        <w:t>第一节 规划范围和对象</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_Toc28206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9</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lang w:val="en-US" w:eastAsia="zh-CN"/>
        </w:rPr>
        <w:fldChar w:fldCharType="end"/>
      </w:r>
    </w:p>
    <w:p>
      <w:pPr>
        <w:pStyle w:val="9"/>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fldChar w:fldCharType="begin"/>
      </w:r>
      <w:r>
        <w:rPr>
          <w:rFonts w:hint="default" w:ascii="Times New Roman" w:hAnsi="Times New Roman" w:eastAsia="仿宋_GB2312" w:cs="Times New Roman"/>
          <w:sz w:val="28"/>
          <w:szCs w:val="28"/>
          <w:lang w:val="en-US" w:eastAsia="zh-CN"/>
        </w:rPr>
        <w:instrText xml:space="preserve"> HYPERLINK \l _Toc11340 </w:instrText>
      </w:r>
      <w:r>
        <w:rPr>
          <w:rFonts w:hint="default" w:ascii="Times New Roman" w:hAnsi="Times New Roman" w:eastAsia="仿宋_GB2312" w:cs="Times New Roman"/>
          <w:sz w:val="28"/>
          <w:szCs w:val="28"/>
          <w:lang w:val="en-US" w:eastAsia="zh-CN"/>
        </w:rPr>
        <w:fldChar w:fldCharType="separate"/>
      </w:r>
      <w:r>
        <w:rPr>
          <w:rFonts w:hint="default" w:ascii="Times New Roman" w:hAnsi="Times New Roman" w:eastAsia="仿宋_GB2312" w:cs="Times New Roman"/>
          <w:bCs/>
          <w:sz w:val="28"/>
          <w:szCs w:val="28"/>
          <w:highlight w:val="none"/>
          <w:lang w:val="en-US" w:eastAsia="zh-CN"/>
        </w:rPr>
        <w:t>第二节 规划期限</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_Toc11340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9</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lang w:val="en-US" w:eastAsia="zh-CN"/>
        </w:rPr>
        <w:fldChar w:fldCharType="end"/>
      </w:r>
    </w:p>
    <w:p>
      <w:pPr>
        <w:pStyle w:val="9"/>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fldChar w:fldCharType="begin"/>
      </w:r>
      <w:r>
        <w:rPr>
          <w:rFonts w:hint="default" w:ascii="Times New Roman" w:hAnsi="Times New Roman" w:eastAsia="仿宋_GB2312" w:cs="Times New Roman"/>
          <w:sz w:val="28"/>
          <w:szCs w:val="28"/>
          <w:lang w:val="en-US" w:eastAsia="zh-CN"/>
        </w:rPr>
        <w:instrText xml:space="preserve"> HYPERLINK \l _Toc13439 </w:instrText>
      </w:r>
      <w:r>
        <w:rPr>
          <w:rFonts w:hint="default" w:ascii="Times New Roman" w:hAnsi="Times New Roman" w:eastAsia="仿宋_GB2312" w:cs="Times New Roman"/>
          <w:sz w:val="28"/>
          <w:szCs w:val="28"/>
          <w:lang w:val="en-US" w:eastAsia="zh-CN"/>
        </w:rPr>
        <w:fldChar w:fldCharType="separate"/>
      </w:r>
      <w:r>
        <w:rPr>
          <w:rFonts w:hint="default" w:ascii="Times New Roman" w:hAnsi="Times New Roman" w:eastAsia="仿宋_GB2312" w:cs="Times New Roman"/>
          <w:bCs/>
          <w:sz w:val="28"/>
          <w:szCs w:val="28"/>
          <w:highlight w:val="none"/>
          <w:lang w:val="en-US" w:eastAsia="zh-CN"/>
        </w:rPr>
        <w:t>第三节 总体布局</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_Toc13439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9</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lang w:val="en-US" w:eastAsia="zh-CN"/>
        </w:rPr>
        <w:fldChar w:fldCharType="end"/>
      </w:r>
    </w:p>
    <w:p>
      <w:pPr>
        <w:pStyle w:val="9"/>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fldChar w:fldCharType="begin"/>
      </w:r>
      <w:r>
        <w:rPr>
          <w:rFonts w:hint="default" w:ascii="Times New Roman" w:hAnsi="Times New Roman" w:eastAsia="仿宋_GB2312" w:cs="Times New Roman"/>
          <w:sz w:val="28"/>
          <w:szCs w:val="28"/>
          <w:lang w:val="en-US" w:eastAsia="zh-CN"/>
        </w:rPr>
        <w:instrText xml:space="preserve"> HYPERLINK \l _Toc17137 </w:instrText>
      </w:r>
      <w:r>
        <w:rPr>
          <w:rFonts w:hint="default" w:ascii="Times New Roman" w:hAnsi="Times New Roman" w:eastAsia="仿宋_GB2312" w:cs="Times New Roman"/>
          <w:sz w:val="28"/>
          <w:szCs w:val="28"/>
          <w:lang w:val="en-US" w:eastAsia="zh-CN"/>
        </w:rPr>
        <w:fldChar w:fldCharType="separate"/>
      </w:r>
      <w:r>
        <w:rPr>
          <w:rFonts w:hint="default" w:ascii="Times New Roman" w:hAnsi="Times New Roman" w:eastAsia="仿宋_GB2312" w:cs="Times New Roman"/>
          <w:bCs/>
          <w:sz w:val="28"/>
          <w:szCs w:val="28"/>
          <w:highlight w:val="none"/>
          <w:lang w:val="en-US" w:eastAsia="zh-CN"/>
        </w:rPr>
        <w:t>第四节 固定交投点</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_Toc17137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10</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lang w:val="en-US" w:eastAsia="zh-CN"/>
        </w:rPr>
        <w:fldChar w:fldCharType="end"/>
      </w:r>
    </w:p>
    <w:p>
      <w:pPr>
        <w:pStyle w:val="9"/>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fldChar w:fldCharType="begin"/>
      </w:r>
      <w:r>
        <w:rPr>
          <w:rFonts w:hint="default" w:ascii="Times New Roman" w:hAnsi="Times New Roman" w:eastAsia="仿宋_GB2312" w:cs="Times New Roman"/>
          <w:sz w:val="28"/>
          <w:szCs w:val="28"/>
          <w:lang w:val="en-US" w:eastAsia="zh-CN"/>
        </w:rPr>
        <w:instrText xml:space="preserve"> HYPERLINK \l _Toc5735 </w:instrText>
      </w:r>
      <w:r>
        <w:rPr>
          <w:rFonts w:hint="default" w:ascii="Times New Roman" w:hAnsi="Times New Roman" w:eastAsia="仿宋_GB2312" w:cs="Times New Roman"/>
          <w:sz w:val="28"/>
          <w:szCs w:val="28"/>
          <w:lang w:val="en-US" w:eastAsia="zh-CN"/>
        </w:rPr>
        <w:fldChar w:fldCharType="separate"/>
      </w:r>
      <w:r>
        <w:rPr>
          <w:rFonts w:hint="default" w:ascii="Times New Roman" w:hAnsi="Times New Roman" w:eastAsia="仿宋_GB2312" w:cs="Times New Roman"/>
          <w:bCs/>
          <w:sz w:val="28"/>
          <w:szCs w:val="28"/>
          <w:highlight w:val="none"/>
          <w:lang w:val="en-US" w:eastAsia="zh-CN"/>
        </w:rPr>
        <w:t>第五节 中转站</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_Toc5735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13</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lang w:val="en-US" w:eastAsia="zh-CN"/>
        </w:rPr>
        <w:fldChar w:fldCharType="end"/>
      </w:r>
    </w:p>
    <w:p>
      <w:pPr>
        <w:pStyle w:val="9"/>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fldChar w:fldCharType="begin"/>
      </w:r>
      <w:r>
        <w:rPr>
          <w:rFonts w:hint="default" w:ascii="Times New Roman" w:hAnsi="Times New Roman" w:eastAsia="仿宋_GB2312" w:cs="Times New Roman"/>
          <w:sz w:val="28"/>
          <w:szCs w:val="28"/>
          <w:lang w:val="en-US" w:eastAsia="zh-CN"/>
        </w:rPr>
        <w:instrText xml:space="preserve"> HYPERLINK \l _Toc979 </w:instrText>
      </w:r>
      <w:r>
        <w:rPr>
          <w:rFonts w:hint="default" w:ascii="Times New Roman" w:hAnsi="Times New Roman" w:eastAsia="仿宋_GB2312" w:cs="Times New Roman"/>
          <w:sz w:val="28"/>
          <w:szCs w:val="28"/>
          <w:lang w:val="en-US" w:eastAsia="zh-CN"/>
        </w:rPr>
        <w:fldChar w:fldCharType="separate"/>
      </w:r>
      <w:r>
        <w:rPr>
          <w:rFonts w:hint="default" w:ascii="Times New Roman" w:hAnsi="Times New Roman" w:eastAsia="仿宋_GB2312" w:cs="Times New Roman"/>
          <w:bCs/>
          <w:sz w:val="28"/>
          <w:szCs w:val="28"/>
          <w:highlight w:val="none"/>
          <w:lang w:val="en-US" w:eastAsia="zh-CN"/>
        </w:rPr>
        <w:t>第六节 区级绿色分拣中心</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_Toc979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14</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lang w:val="en-US" w:eastAsia="zh-CN"/>
        </w:rPr>
        <w:fldChar w:fldCharType="end"/>
      </w:r>
    </w:p>
    <w:p>
      <w:pPr>
        <w:pStyle w:val="14"/>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b/>
          <w:bCs/>
          <w:sz w:val="28"/>
          <w:szCs w:val="28"/>
          <w:lang w:val="en-US" w:eastAsia="zh-CN"/>
        </w:rPr>
        <w:fldChar w:fldCharType="begin"/>
      </w:r>
      <w:r>
        <w:rPr>
          <w:rFonts w:hint="default" w:ascii="Times New Roman" w:hAnsi="Times New Roman" w:eastAsia="仿宋_GB2312" w:cs="Times New Roman"/>
          <w:b/>
          <w:bCs/>
          <w:sz w:val="28"/>
          <w:szCs w:val="28"/>
          <w:lang w:val="en-US" w:eastAsia="zh-CN"/>
        </w:rPr>
        <w:instrText xml:space="preserve"> HYPERLINK \l _Toc6037 </w:instrText>
      </w:r>
      <w:r>
        <w:rPr>
          <w:rFonts w:hint="default" w:ascii="Times New Roman" w:hAnsi="Times New Roman" w:eastAsia="仿宋_GB2312" w:cs="Times New Roman"/>
          <w:b/>
          <w:bCs/>
          <w:sz w:val="28"/>
          <w:szCs w:val="28"/>
          <w:lang w:val="en-US" w:eastAsia="zh-CN"/>
        </w:rPr>
        <w:fldChar w:fldCharType="separate"/>
      </w:r>
      <w:r>
        <w:rPr>
          <w:rFonts w:hint="default" w:ascii="Times New Roman" w:hAnsi="Times New Roman" w:eastAsia="仿宋_GB2312" w:cs="Times New Roman"/>
          <w:b/>
          <w:bCs/>
          <w:kern w:val="44"/>
          <w:sz w:val="28"/>
          <w:szCs w:val="28"/>
          <w:lang w:val="en-US" w:eastAsia="zh-CN"/>
        </w:rPr>
        <w:t>第四章  织密全域回收网络，构建现代循环体系</w:t>
      </w:r>
      <w:r>
        <w:rPr>
          <w:rFonts w:hint="default" w:ascii="Times New Roman" w:hAnsi="Times New Roman" w:eastAsia="仿宋_GB2312" w:cs="Times New Roman"/>
          <w:b/>
          <w:bCs/>
          <w:sz w:val="28"/>
          <w:szCs w:val="28"/>
        </w:rPr>
        <w:tab/>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PAGEREF _Toc6037 \h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16</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lang w:val="en-US" w:eastAsia="zh-CN"/>
        </w:rPr>
        <w:fldChar w:fldCharType="end"/>
      </w:r>
    </w:p>
    <w:p>
      <w:pPr>
        <w:pStyle w:val="13"/>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fldChar w:fldCharType="begin"/>
      </w:r>
      <w:r>
        <w:rPr>
          <w:rFonts w:hint="default" w:ascii="Times New Roman" w:hAnsi="Times New Roman" w:eastAsia="仿宋_GB2312" w:cs="Times New Roman"/>
          <w:sz w:val="28"/>
          <w:szCs w:val="28"/>
          <w:lang w:val="en-US" w:eastAsia="zh-CN"/>
        </w:rPr>
        <w:instrText xml:space="preserve"> HYPERLINK \l _Toc19951 </w:instrText>
      </w:r>
      <w:r>
        <w:rPr>
          <w:rFonts w:hint="default" w:ascii="Times New Roman" w:hAnsi="Times New Roman" w:eastAsia="仿宋_GB2312" w:cs="Times New Roman"/>
          <w:sz w:val="28"/>
          <w:szCs w:val="28"/>
          <w:lang w:val="en-US" w:eastAsia="zh-CN"/>
        </w:rPr>
        <w:fldChar w:fldCharType="separate"/>
      </w:r>
      <w:r>
        <w:rPr>
          <w:rFonts w:hint="default" w:ascii="Times New Roman" w:hAnsi="Times New Roman" w:eastAsia="仿宋_GB2312" w:cs="Times New Roman"/>
          <w:bCs/>
          <w:kern w:val="0"/>
          <w:sz w:val="28"/>
          <w:szCs w:val="28"/>
          <w:lang w:val="en-US" w:eastAsia="zh-CN" w:bidi="ar"/>
        </w:rPr>
        <w:t>优化空间布局，完善网络体系。</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_Toc19951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16</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lang w:val="en-US" w:eastAsia="zh-CN"/>
        </w:rPr>
        <w:fldChar w:fldCharType="end"/>
      </w:r>
    </w:p>
    <w:p>
      <w:pPr>
        <w:pStyle w:val="13"/>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fldChar w:fldCharType="begin"/>
      </w:r>
      <w:r>
        <w:rPr>
          <w:rFonts w:hint="default" w:ascii="Times New Roman" w:hAnsi="Times New Roman" w:eastAsia="仿宋_GB2312" w:cs="Times New Roman"/>
          <w:sz w:val="28"/>
          <w:szCs w:val="28"/>
          <w:lang w:val="en-US" w:eastAsia="zh-CN"/>
        </w:rPr>
        <w:instrText xml:space="preserve"> HYPERLINK \l _Toc1267 </w:instrText>
      </w:r>
      <w:r>
        <w:rPr>
          <w:rFonts w:hint="default" w:ascii="Times New Roman" w:hAnsi="Times New Roman" w:eastAsia="仿宋_GB2312" w:cs="Times New Roman"/>
          <w:sz w:val="28"/>
          <w:szCs w:val="28"/>
          <w:lang w:val="en-US" w:eastAsia="zh-CN"/>
        </w:rPr>
        <w:fldChar w:fldCharType="separate"/>
      </w:r>
      <w:r>
        <w:rPr>
          <w:rFonts w:hint="default" w:ascii="Times New Roman" w:hAnsi="Times New Roman" w:eastAsia="仿宋_GB2312" w:cs="Times New Roman"/>
          <w:bCs/>
          <w:kern w:val="0"/>
          <w:sz w:val="28"/>
          <w:szCs w:val="28"/>
          <w:lang w:val="en-US" w:eastAsia="zh-CN" w:bidi="ar"/>
        </w:rPr>
        <w:t>开展行业整治，规范运营秩序。</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_Toc1267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16</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lang w:val="en-US" w:eastAsia="zh-CN"/>
        </w:rPr>
        <w:fldChar w:fldCharType="end"/>
      </w:r>
    </w:p>
    <w:p>
      <w:pPr>
        <w:pStyle w:val="13"/>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fldChar w:fldCharType="begin"/>
      </w:r>
      <w:r>
        <w:rPr>
          <w:rFonts w:hint="default" w:ascii="Times New Roman" w:hAnsi="Times New Roman" w:eastAsia="仿宋_GB2312" w:cs="Times New Roman"/>
          <w:sz w:val="28"/>
          <w:szCs w:val="28"/>
          <w:lang w:val="en-US" w:eastAsia="zh-CN"/>
        </w:rPr>
        <w:instrText xml:space="preserve"> HYPERLINK \l _Toc1247 </w:instrText>
      </w:r>
      <w:r>
        <w:rPr>
          <w:rFonts w:hint="default" w:ascii="Times New Roman" w:hAnsi="Times New Roman" w:eastAsia="仿宋_GB2312" w:cs="Times New Roman"/>
          <w:sz w:val="28"/>
          <w:szCs w:val="28"/>
          <w:lang w:val="en-US" w:eastAsia="zh-CN"/>
        </w:rPr>
        <w:fldChar w:fldCharType="separate"/>
      </w:r>
      <w:r>
        <w:rPr>
          <w:rFonts w:hint="default" w:ascii="Times New Roman" w:hAnsi="Times New Roman" w:eastAsia="仿宋_GB2312" w:cs="Times New Roman"/>
          <w:bCs/>
          <w:kern w:val="0"/>
          <w:sz w:val="28"/>
          <w:szCs w:val="28"/>
          <w:lang w:val="en-US" w:eastAsia="zh-CN" w:bidi="ar"/>
        </w:rPr>
        <w:t>培育市场主体，提升专业化水平。</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_Toc1247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17</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lang w:val="en-US" w:eastAsia="zh-CN"/>
        </w:rPr>
        <w:fldChar w:fldCharType="end"/>
      </w:r>
    </w:p>
    <w:p>
      <w:pPr>
        <w:pStyle w:val="13"/>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fldChar w:fldCharType="begin"/>
      </w:r>
      <w:r>
        <w:rPr>
          <w:rFonts w:hint="default" w:ascii="Times New Roman" w:hAnsi="Times New Roman" w:eastAsia="仿宋_GB2312" w:cs="Times New Roman"/>
          <w:sz w:val="28"/>
          <w:szCs w:val="28"/>
          <w:lang w:val="en-US" w:eastAsia="zh-CN"/>
        </w:rPr>
        <w:instrText xml:space="preserve"> HYPERLINK \l _Toc15527 </w:instrText>
      </w:r>
      <w:r>
        <w:rPr>
          <w:rFonts w:hint="default" w:ascii="Times New Roman" w:hAnsi="Times New Roman" w:eastAsia="仿宋_GB2312" w:cs="Times New Roman"/>
          <w:sz w:val="28"/>
          <w:szCs w:val="28"/>
          <w:lang w:val="en-US" w:eastAsia="zh-CN"/>
        </w:rPr>
        <w:fldChar w:fldCharType="separate"/>
      </w:r>
      <w:r>
        <w:rPr>
          <w:rFonts w:hint="default" w:ascii="Times New Roman" w:hAnsi="Times New Roman" w:eastAsia="仿宋_GB2312" w:cs="Times New Roman"/>
          <w:bCs/>
          <w:kern w:val="0"/>
          <w:sz w:val="28"/>
          <w:szCs w:val="28"/>
          <w:lang w:val="en-US" w:eastAsia="zh-CN" w:bidi="ar"/>
        </w:rPr>
        <w:t>深化“两网融合”，提升回收效率。</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_Toc15527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18</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lang w:val="en-US" w:eastAsia="zh-CN"/>
        </w:rPr>
        <w:fldChar w:fldCharType="end"/>
      </w:r>
    </w:p>
    <w:p>
      <w:pPr>
        <w:pStyle w:val="13"/>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fldChar w:fldCharType="begin"/>
      </w:r>
      <w:r>
        <w:rPr>
          <w:rFonts w:hint="default" w:ascii="Times New Roman" w:hAnsi="Times New Roman" w:eastAsia="仿宋_GB2312" w:cs="Times New Roman"/>
          <w:sz w:val="28"/>
          <w:szCs w:val="28"/>
          <w:lang w:val="en-US" w:eastAsia="zh-CN"/>
        </w:rPr>
        <w:instrText xml:space="preserve"> HYPERLINK \l _Toc15196 </w:instrText>
      </w:r>
      <w:r>
        <w:rPr>
          <w:rFonts w:hint="default" w:ascii="Times New Roman" w:hAnsi="Times New Roman" w:eastAsia="仿宋_GB2312" w:cs="Times New Roman"/>
          <w:sz w:val="28"/>
          <w:szCs w:val="28"/>
          <w:lang w:val="en-US" w:eastAsia="zh-CN"/>
        </w:rPr>
        <w:fldChar w:fldCharType="separate"/>
      </w:r>
      <w:r>
        <w:rPr>
          <w:rFonts w:hint="default" w:ascii="Times New Roman" w:hAnsi="Times New Roman" w:eastAsia="仿宋_GB2312" w:cs="Times New Roman"/>
          <w:bCs/>
          <w:kern w:val="0"/>
          <w:sz w:val="28"/>
          <w:szCs w:val="28"/>
          <w:lang w:val="en-US" w:eastAsia="zh-CN" w:bidi="ar"/>
        </w:rPr>
        <w:t>强化数字监管，保障布局落地。</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_Toc15196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18</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lang w:val="en-US" w:eastAsia="zh-CN"/>
        </w:rPr>
        <w:fldChar w:fldCharType="end"/>
      </w:r>
    </w:p>
    <w:p>
      <w:pPr>
        <w:pStyle w:val="14"/>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b/>
          <w:bCs/>
          <w:sz w:val="28"/>
          <w:szCs w:val="28"/>
          <w:lang w:val="en-US" w:eastAsia="zh-CN"/>
        </w:rPr>
        <w:fldChar w:fldCharType="begin"/>
      </w:r>
      <w:r>
        <w:rPr>
          <w:rFonts w:hint="default" w:ascii="Times New Roman" w:hAnsi="Times New Roman" w:eastAsia="仿宋_GB2312" w:cs="Times New Roman"/>
          <w:b/>
          <w:bCs/>
          <w:sz w:val="28"/>
          <w:szCs w:val="28"/>
          <w:lang w:val="en-US" w:eastAsia="zh-CN"/>
        </w:rPr>
        <w:instrText xml:space="preserve"> HYPERLINK \l _Toc9988 </w:instrText>
      </w:r>
      <w:r>
        <w:rPr>
          <w:rFonts w:hint="default" w:ascii="Times New Roman" w:hAnsi="Times New Roman" w:eastAsia="仿宋_GB2312" w:cs="Times New Roman"/>
          <w:b/>
          <w:bCs/>
          <w:sz w:val="28"/>
          <w:szCs w:val="28"/>
          <w:lang w:val="en-US" w:eastAsia="zh-CN"/>
        </w:rPr>
        <w:fldChar w:fldCharType="separate"/>
      </w:r>
      <w:r>
        <w:rPr>
          <w:rFonts w:hint="default" w:ascii="Times New Roman" w:hAnsi="Times New Roman" w:eastAsia="仿宋_GB2312" w:cs="Times New Roman"/>
          <w:b/>
          <w:bCs/>
          <w:kern w:val="44"/>
          <w:sz w:val="28"/>
          <w:szCs w:val="28"/>
          <w:lang w:val="en-US" w:eastAsia="zh-CN"/>
        </w:rPr>
        <w:t>第五章  多措并举构建保障体系</w:t>
      </w:r>
      <w:r>
        <w:rPr>
          <w:rFonts w:hint="default" w:ascii="Times New Roman" w:hAnsi="Times New Roman" w:eastAsia="仿宋_GB2312" w:cs="Times New Roman"/>
          <w:b/>
          <w:bCs/>
          <w:sz w:val="28"/>
          <w:szCs w:val="28"/>
        </w:rPr>
        <w:tab/>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PAGEREF _Toc9988 \h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20</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lang w:val="en-US" w:eastAsia="zh-CN"/>
        </w:rPr>
        <w:fldChar w:fldCharType="end"/>
      </w:r>
    </w:p>
    <w:p>
      <w:pPr>
        <w:pStyle w:val="13"/>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fldChar w:fldCharType="begin"/>
      </w:r>
      <w:r>
        <w:rPr>
          <w:rFonts w:hint="default" w:ascii="Times New Roman" w:hAnsi="Times New Roman" w:eastAsia="仿宋_GB2312" w:cs="Times New Roman"/>
          <w:sz w:val="28"/>
          <w:szCs w:val="28"/>
          <w:lang w:val="en-US" w:eastAsia="zh-CN"/>
        </w:rPr>
        <w:instrText xml:space="preserve"> HYPERLINK \l _Toc24294 </w:instrText>
      </w:r>
      <w:r>
        <w:rPr>
          <w:rFonts w:hint="default" w:ascii="Times New Roman" w:hAnsi="Times New Roman" w:eastAsia="仿宋_GB2312" w:cs="Times New Roman"/>
          <w:sz w:val="28"/>
          <w:szCs w:val="28"/>
          <w:lang w:val="en-US" w:eastAsia="zh-CN"/>
        </w:rPr>
        <w:fldChar w:fldCharType="separate"/>
      </w:r>
      <w:r>
        <w:rPr>
          <w:rFonts w:hint="default" w:ascii="Times New Roman" w:hAnsi="Times New Roman" w:eastAsia="仿宋_GB2312" w:cs="Times New Roman"/>
          <w:bCs/>
          <w:kern w:val="0"/>
          <w:sz w:val="28"/>
          <w:szCs w:val="28"/>
          <w:lang w:val="en-US" w:eastAsia="zh-CN" w:bidi="ar"/>
        </w:rPr>
        <w:t>强化组织统筹，健全协同治理机制。</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_Toc24294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20</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lang w:val="en-US" w:eastAsia="zh-CN"/>
        </w:rPr>
        <w:fldChar w:fldCharType="end"/>
      </w:r>
    </w:p>
    <w:p>
      <w:pPr>
        <w:pStyle w:val="13"/>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fldChar w:fldCharType="begin"/>
      </w:r>
      <w:r>
        <w:rPr>
          <w:rFonts w:hint="default" w:ascii="Times New Roman" w:hAnsi="Times New Roman" w:eastAsia="仿宋_GB2312" w:cs="Times New Roman"/>
          <w:sz w:val="28"/>
          <w:szCs w:val="28"/>
          <w:lang w:val="en-US" w:eastAsia="zh-CN"/>
        </w:rPr>
        <w:instrText xml:space="preserve"> HYPERLINK \l _Toc28700 </w:instrText>
      </w:r>
      <w:r>
        <w:rPr>
          <w:rFonts w:hint="default" w:ascii="Times New Roman" w:hAnsi="Times New Roman" w:eastAsia="仿宋_GB2312" w:cs="Times New Roman"/>
          <w:sz w:val="28"/>
          <w:szCs w:val="28"/>
          <w:lang w:val="en-US" w:eastAsia="zh-CN"/>
        </w:rPr>
        <w:fldChar w:fldCharType="separate"/>
      </w:r>
      <w:r>
        <w:rPr>
          <w:rFonts w:hint="default" w:ascii="Times New Roman" w:hAnsi="Times New Roman" w:eastAsia="仿宋_GB2312" w:cs="Times New Roman"/>
          <w:bCs/>
          <w:kern w:val="0"/>
          <w:sz w:val="28"/>
          <w:szCs w:val="28"/>
          <w:lang w:val="en-US" w:eastAsia="zh-CN" w:bidi="ar"/>
        </w:rPr>
        <w:t>强化要素支撑，破除项目落地堵点。</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_Toc28700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20</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lang w:val="en-US" w:eastAsia="zh-CN"/>
        </w:rPr>
        <w:fldChar w:fldCharType="end"/>
      </w:r>
    </w:p>
    <w:p>
      <w:pPr>
        <w:pStyle w:val="13"/>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fldChar w:fldCharType="begin"/>
      </w:r>
      <w:r>
        <w:rPr>
          <w:rFonts w:hint="default" w:ascii="Times New Roman" w:hAnsi="Times New Roman" w:eastAsia="仿宋_GB2312" w:cs="Times New Roman"/>
          <w:sz w:val="28"/>
          <w:szCs w:val="28"/>
          <w:lang w:val="en-US" w:eastAsia="zh-CN"/>
        </w:rPr>
        <w:instrText xml:space="preserve"> HYPERLINK \l _Toc21907 </w:instrText>
      </w:r>
      <w:r>
        <w:rPr>
          <w:rFonts w:hint="default" w:ascii="Times New Roman" w:hAnsi="Times New Roman" w:eastAsia="仿宋_GB2312" w:cs="Times New Roman"/>
          <w:sz w:val="28"/>
          <w:szCs w:val="28"/>
          <w:lang w:val="en-US" w:eastAsia="zh-CN"/>
        </w:rPr>
        <w:fldChar w:fldCharType="separate"/>
      </w:r>
      <w:r>
        <w:rPr>
          <w:rFonts w:hint="default" w:ascii="Times New Roman" w:hAnsi="Times New Roman" w:eastAsia="仿宋_GB2312" w:cs="Times New Roman"/>
          <w:bCs/>
          <w:kern w:val="0"/>
          <w:sz w:val="28"/>
          <w:szCs w:val="28"/>
          <w:lang w:val="en-US" w:eastAsia="zh-CN" w:bidi="ar"/>
        </w:rPr>
        <w:t>强化监管执法，规范行业经营秩序。</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_Toc21907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20</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lang w:val="en-US" w:eastAsia="zh-CN"/>
        </w:rPr>
        <w:fldChar w:fldCharType="end"/>
      </w:r>
    </w:p>
    <w:p>
      <w:pPr>
        <w:pStyle w:val="13"/>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fldChar w:fldCharType="begin"/>
      </w:r>
      <w:r>
        <w:rPr>
          <w:rFonts w:hint="default" w:ascii="Times New Roman" w:hAnsi="Times New Roman" w:eastAsia="仿宋_GB2312" w:cs="Times New Roman"/>
          <w:sz w:val="28"/>
          <w:szCs w:val="28"/>
          <w:lang w:val="en-US" w:eastAsia="zh-CN"/>
        </w:rPr>
        <w:instrText xml:space="preserve"> HYPERLINK \l _Toc20183 </w:instrText>
      </w:r>
      <w:r>
        <w:rPr>
          <w:rFonts w:hint="default" w:ascii="Times New Roman" w:hAnsi="Times New Roman" w:eastAsia="仿宋_GB2312" w:cs="Times New Roman"/>
          <w:sz w:val="28"/>
          <w:szCs w:val="28"/>
          <w:lang w:val="en-US" w:eastAsia="zh-CN"/>
        </w:rPr>
        <w:fldChar w:fldCharType="separate"/>
      </w:r>
      <w:r>
        <w:rPr>
          <w:rFonts w:hint="default" w:ascii="Times New Roman" w:hAnsi="Times New Roman" w:eastAsia="仿宋_GB2312" w:cs="Times New Roman"/>
          <w:bCs/>
          <w:kern w:val="0"/>
          <w:sz w:val="28"/>
          <w:szCs w:val="28"/>
          <w:lang w:val="en-US" w:eastAsia="zh-CN" w:bidi="ar"/>
        </w:rPr>
        <w:t>强化数字赋能，搭建智慧管控体系。</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_Toc20183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21</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lang w:val="en-US" w:eastAsia="zh-CN"/>
        </w:rPr>
        <w:fldChar w:fldCharType="end"/>
      </w:r>
    </w:p>
    <w:p>
      <w:pPr>
        <w:pStyle w:val="13"/>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fldChar w:fldCharType="begin"/>
      </w:r>
      <w:r>
        <w:rPr>
          <w:rFonts w:hint="default" w:ascii="Times New Roman" w:hAnsi="Times New Roman" w:eastAsia="仿宋_GB2312" w:cs="Times New Roman"/>
          <w:sz w:val="28"/>
          <w:szCs w:val="28"/>
          <w:lang w:val="en-US" w:eastAsia="zh-CN"/>
        </w:rPr>
        <w:instrText xml:space="preserve"> HYPERLINK \l _Toc18248 </w:instrText>
      </w:r>
      <w:r>
        <w:rPr>
          <w:rFonts w:hint="default" w:ascii="Times New Roman" w:hAnsi="Times New Roman" w:eastAsia="仿宋_GB2312" w:cs="Times New Roman"/>
          <w:sz w:val="28"/>
          <w:szCs w:val="28"/>
          <w:lang w:val="en-US" w:eastAsia="zh-CN"/>
        </w:rPr>
        <w:fldChar w:fldCharType="separate"/>
      </w:r>
      <w:r>
        <w:rPr>
          <w:rFonts w:hint="default" w:ascii="Times New Roman" w:hAnsi="Times New Roman" w:eastAsia="仿宋_GB2312" w:cs="Times New Roman"/>
          <w:bCs/>
          <w:kern w:val="0"/>
          <w:sz w:val="28"/>
          <w:szCs w:val="28"/>
          <w:lang w:val="en-US" w:eastAsia="zh-CN" w:bidi="ar"/>
        </w:rPr>
        <w:t>强化人才支撑，夯实运营管理基础。</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_Toc18248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21</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lang w:val="en-US" w:eastAsia="zh-CN"/>
        </w:rPr>
        <w:fldChar w:fldCharType="end"/>
      </w:r>
    </w:p>
    <w:p>
      <w:pPr>
        <w:pStyle w:val="13"/>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fldChar w:fldCharType="begin"/>
      </w:r>
      <w:r>
        <w:rPr>
          <w:rFonts w:hint="default" w:ascii="Times New Roman" w:hAnsi="Times New Roman" w:eastAsia="仿宋_GB2312" w:cs="Times New Roman"/>
          <w:sz w:val="28"/>
          <w:szCs w:val="28"/>
          <w:lang w:val="en-US" w:eastAsia="zh-CN"/>
        </w:rPr>
        <w:instrText xml:space="preserve"> HYPERLINK \l _Toc19887 </w:instrText>
      </w:r>
      <w:r>
        <w:rPr>
          <w:rFonts w:hint="default" w:ascii="Times New Roman" w:hAnsi="Times New Roman" w:eastAsia="仿宋_GB2312" w:cs="Times New Roman"/>
          <w:sz w:val="28"/>
          <w:szCs w:val="28"/>
          <w:lang w:val="en-US" w:eastAsia="zh-CN"/>
        </w:rPr>
        <w:fldChar w:fldCharType="separate"/>
      </w:r>
      <w:r>
        <w:rPr>
          <w:rFonts w:hint="default" w:ascii="Times New Roman" w:hAnsi="Times New Roman" w:eastAsia="仿宋_GB2312" w:cs="Times New Roman"/>
          <w:bCs/>
          <w:kern w:val="0"/>
          <w:sz w:val="28"/>
          <w:szCs w:val="28"/>
          <w:lang w:val="en-US" w:eastAsia="zh-CN" w:bidi="ar"/>
        </w:rPr>
        <w:t>强化宣传引导，营造全民参与氛围。</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_Toc19887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21</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lang w:val="en-US" w:eastAsia="zh-CN"/>
        </w:rPr>
        <w:fldChar w:fldCharType="end"/>
      </w:r>
    </w:p>
    <w:p>
      <w:pPr>
        <w:pStyle w:val="13"/>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fldChar w:fldCharType="begin"/>
      </w:r>
      <w:r>
        <w:rPr>
          <w:rFonts w:hint="default" w:ascii="Times New Roman" w:hAnsi="Times New Roman" w:eastAsia="仿宋_GB2312" w:cs="Times New Roman"/>
          <w:sz w:val="28"/>
          <w:szCs w:val="28"/>
          <w:lang w:val="en-US" w:eastAsia="zh-CN"/>
        </w:rPr>
        <w:instrText xml:space="preserve"> HYPERLINK \l _Toc22007 </w:instrText>
      </w:r>
      <w:r>
        <w:rPr>
          <w:rFonts w:hint="default" w:ascii="Times New Roman" w:hAnsi="Times New Roman" w:eastAsia="仿宋_GB2312" w:cs="Times New Roman"/>
          <w:sz w:val="28"/>
          <w:szCs w:val="28"/>
          <w:lang w:val="en-US" w:eastAsia="zh-CN"/>
        </w:rPr>
        <w:fldChar w:fldCharType="separate"/>
      </w:r>
      <w:r>
        <w:rPr>
          <w:rFonts w:hint="default" w:ascii="Times New Roman" w:hAnsi="Times New Roman" w:eastAsia="仿宋_GB2312" w:cs="Times New Roman"/>
          <w:bCs/>
          <w:kern w:val="0"/>
          <w:sz w:val="28"/>
          <w:szCs w:val="28"/>
          <w:lang w:val="en-US" w:eastAsia="zh-CN" w:bidi="ar"/>
        </w:rPr>
        <w:t>强化考核督导，建立长效管控机制。</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_Toc22007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21</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lang w:val="en-US" w:eastAsia="zh-CN"/>
        </w:rPr>
        <w:fldChar w:fldCharType="end"/>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default"/>
          <w:lang w:val="en-US" w:eastAsia="zh-CN"/>
        </w:rPr>
        <w:sectPr>
          <w:footerReference r:id="rId3" w:type="default"/>
          <w:pgSz w:w="11905" w:h="16838"/>
          <w:pgMar w:top="2098" w:right="1474" w:bottom="1984" w:left="1587" w:header="851" w:footer="992" w:gutter="0"/>
          <w:pgNumType w:fmt="decimal" w:start="1"/>
          <w:cols w:space="0" w:num="1"/>
          <w:rtlGutter w:val="0"/>
          <w:docGrid w:type="lines" w:linePitch="439" w:charSpace="0"/>
        </w:sectPr>
      </w:pPr>
      <w:r>
        <w:rPr>
          <w:rFonts w:hint="default" w:ascii="Times New Roman" w:hAnsi="Times New Roman" w:eastAsia="仿宋_GB2312" w:cs="Times New Roman"/>
          <w:sz w:val="28"/>
          <w:szCs w:val="28"/>
          <w:lang w:val="en-US" w:eastAsia="zh-CN"/>
        </w:rPr>
        <w:fldChar w:fldCharType="end"/>
      </w:r>
    </w:p>
    <w:p>
      <w:pPr>
        <w:keepNext w:val="0"/>
        <w:keepLines w:val="0"/>
        <w:pageBreakBefore w:val="0"/>
        <w:widowControl w:val="0"/>
        <w:kinsoku/>
        <w:wordWrap/>
        <w:overflowPunct/>
        <w:topLinePunct w:val="0"/>
        <w:autoSpaceDE/>
        <w:autoSpaceDN/>
        <w:bidi w:val="0"/>
        <w:adjustRightInd w:val="0"/>
        <w:snapToGrid w:val="0"/>
        <w:spacing w:before="0" w:after="0" w:line="560" w:lineRule="exact"/>
        <w:ind w:firstLine="0" w:firstLineChars="0"/>
        <w:jc w:val="center"/>
        <w:textAlignment w:val="auto"/>
        <w:outlineLvl w:val="1"/>
        <w:rPr>
          <w:rFonts w:eastAsia="黑体"/>
          <w:bCs/>
          <w:kern w:val="44"/>
          <w:sz w:val="32"/>
          <w:szCs w:val="44"/>
        </w:rPr>
      </w:pPr>
      <w:bookmarkStart w:id="0" w:name="_Toc221219956"/>
      <w:bookmarkStart w:id="1" w:name="_Toc230595345"/>
      <w:bookmarkStart w:id="2" w:name="_Toc221727906"/>
      <w:bookmarkStart w:id="3" w:name="_Toc18333"/>
      <w:r>
        <w:rPr>
          <w:rFonts w:eastAsia="黑体"/>
          <w:bCs/>
          <w:kern w:val="44"/>
          <w:sz w:val="32"/>
          <w:szCs w:val="44"/>
        </w:rPr>
        <w:t>第一章  发展基础</w:t>
      </w:r>
      <w:bookmarkEnd w:id="0"/>
      <w:bookmarkEnd w:id="1"/>
      <w:bookmarkEnd w:id="2"/>
      <w:bookmarkEnd w:id="3"/>
      <w:bookmarkStart w:id="4" w:name="_Toc221219957"/>
      <w:bookmarkStart w:id="5" w:name="OLE_LINK33"/>
      <w:bookmarkStart w:id="6" w:name="_Toc221727907"/>
    </w:p>
    <w:p>
      <w:pPr>
        <w:keepNext w:val="0"/>
        <w:keepLines w:val="0"/>
        <w:pageBreakBefore w:val="0"/>
        <w:widowControl w:val="0"/>
        <w:kinsoku/>
        <w:wordWrap/>
        <w:overflowPunct/>
        <w:topLinePunct w:val="0"/>
        <w:autoSpaceDE/>
        <w:autoSpaceDN/>
        <w:bidi w:val="0"/>
        <w:adjustRightInd w:val="0"/>
        <w:snapToGrid w:val="0"/>
        <w:spacing w:before="0" w:after="0" w:line="560" w:lineRule="exact"/>
        <w:ind w:firstLine="0" w:firstLineChars="0"/>
        <w:jc w:val="center"/>
        <w:textAlignment w:val="auto"/>
        <w:outlineLvl w:val="2"/>
        <w:rPr>
          <w:rFonts w:hint="eastAsia" w:eastAsia="楷体" w:cs="华文楷体"/>
          <w:b/>
          <w:bCs/>
          <w:kern w:val="2"/>
          <w:sz w:val="32"/>
          <w:szCs w:val="32"/>
        </w:rPr>
      </w:pPr>
      <w:bookmarkStart w:id="7" w:name="_Toc230595346"/>
      <w:bookmarkStart w:id="8" w:name="_Toc32233"/>
      <w:r>
        <w:rPr>
          <w:rFonts w:hint="eastAsia" w:eastAsia="楷体" w:cs="华文楷体"/>
          <w:b/>
          <w:bCs/>
          <w:kern w:val="2"/>
          <w:sz w:val="32"/>
          <w:szCs w:val="32"/>
        </w:rPr>
        <w:t>第一节 发展现状</w:t>
      </w:r>
      <w:bookmarkEnd w:id="4"/>
      <w:bookmarkEnd w:id="5"/>
      <w:bookmarkEnd w:id="6"/>
      <w:bookmarkEnd w:id="7"/>
      <w:bookmarkEnd w:id="8"/>
      <w:bookmarkStart w:id="9" w:name="_Toc221219958"/>
      <w:bookmarkStart w:id="10" w:name="_Toc221219959"/>
      <w:bookmarkStart w:id="11" w:name="_Toc221727908"/>
      <w:bookmarkStart w:id="12" w:name="OLE_LINK31"/>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3"/>
        <w:rPr>
          <w:rFonts w:hint="default" w:ascii="Times New Roman" w:hAnsi="Times New Roman" w:eastAsia="仿宋_GB2312" w:cs="Times New Roman"/>
          <w:lang w:val="en-US" w:eastAsia="zh-CN"/>
        </w:rPr>
      </w:pPr>
      <w:bookmarkStart w:id="13" w:name="_Toc230595347"/>
      <w:bookmarkStart w:id="14" w:name="_Toc23974"/>
      <w:r>
        <w:rPr>
          <w:rFonts w:hint="default" w:ascii="Times New Roman" w:hAnsi="Times New Roman" w:eastAsia="仿宋_GB2312" w:cs="Times New Roman"/>
          <w:b/>
          <w:bCs/>
          <w:kern w:val="2"/>
          <w:sz w:val="32"/>
          <w:szCs w:val="32"/>
        </w:rPr>
        <w:t>回收网络体系基本建立，标准化布局亟待完善。</w:t>
      </w:r>
      <w:r>
        <w:rPr>
          <w:rFonts w:hint="default" w:ascii="Times New Roman" w:hAnsi="Times New Roman" w:eastAsia="仿宋_GB2312" w:cs="Times New Roman"/>
          <w:b w:val="0"/>
          <w:bCs w:val="0"/>
          <w:kern w:val="2"/>
          <w:sz w:val="32"/>
          <w:szCs w:val="32"/>
        </w:rPr>
        <w:t>对照三亚市“十四五”再生资源回收体系建设部署，天涯区备案登记再生资源回收利用固定交投点</w:t>
      </w:r>
      <w:r>
        <w:rPr>
          <w:rFonts w:hint="eastAsia" w:eastAsia="仿宋_GB2312" w:cs="Times New Roman"/>
          <w:b w:val="0"/>
          <w:bCs w:val="0"/>
          <w:kern w:val="2"/>
          <w:sz w:val="32"/>
          <w:szCs w:val="32"/>
          <w:lang w:val="en-US" w:eastAsia="zh-CN"/>
        </w:rPr>
        <w:t>126</w:t>
      </w:r>
      <w:r>
        <w:rPr>
          <w:rFonts w:hint="default" w:ascii="Times New Roman" w:hAnsi="Times New Roman" w:eastAsia="仿宋_GB2312" w:cs="Times New Roman"/>
          <w:b w:val="0"/>
          <w:bCs w:val="0"/>
          <w:kern w:val="2"/>
          <w:sz w:val="32"/>
          <w:szCs w:val="32"/>
        </w:rPr>
        <w:t>个，覆盖28个村（社区）。现有站点运营规范程度不一，部分站点存在露天堆存、环保安全配套设施缺失、台账及金属登记不全、收运管理混乱等问题，其中43处站点存在不符合布设选址规范情况，标准化改造需求迫切；中转、分拣场所合规性不足，亟需新建标准化规模化区级分拣枢纽。</w:t>
      </w:r>
      <w:bookmarkEnd w:id="9"/>
      <w:bookmarkEnd w:id="10"/>
      <w:bookmarkEnd w:id="11"/>
      <w:bookmarkEnd w:id="12"/>
      <w:bookmarkEnd w:id="13"/>
      <w:bookmarkEnd w:id="14"/>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3"/>
        <w:rPr>
          <w:rFonts w:hint="default" w:ascii="Times New Roman" w:hAnsi="Times New Roman" w:eastAsia="仿宋_GB2312" w:cs="Times New Roman"/>
          <w:lang w:val="en-US" w:eastAsia="zh-CN"/>
        </w:rPr>
      </w:pPr>
      <w:bookmarkStart w:id="15" w:name="_Toc17984"/>
      <w:r>
        <w:rPr>
          <w:rFonts w:hint="default" w:ascii="Times New Roman" w:hAnsi="Times New Roman" w:eastAsia="仿宋_GB2312" w:cs="Times New Roman"/>
          <w:b/>
          <w:bCs/>
          <w:kern w:val="2"/>
          <w:sz w:val="32"/>
          <w:szCs w:val="32"/>
          <w:lang w:val="en-US" w:eastAsia="zh-CN"/>
        </w:rPr>
        <w:t>行业规模持续扩容，区域发展分化失衡。</w:t>
      </w:r>
      <w:r>
        <w:rPr>
          <w:rFonts w:hint="default" w:ascii="Times New Roman" w:hAnsi="Times New Roman" w:eastAsia="仿宋_GB2312" w:cs="Times New Roman"/>
          <w:lang w:val="en-US" w:eastAsia="zh-CN"/>
        </w:rPr>
        <w:t>2022至2025年，天涯区再生资源回收行业扩张提速，回收总量、运营站点数量与单站运营效能均稳步提升，行业规模化发展趋势明显。辖区回收站点呈金字塔分层格局，中型站点为行业主体，小型站点保障基层便民回收，大型站点数量虽少，但为回收增量核心支撑。全区再生资源回收资源空间集聚特征突出，村居间回收产业发展差距较大，少数重点村居形成回收产业核心，多数村居回收产业发展滞后，区域发展不均衡问题突出。</w:t>
      </w:r>
      <w:bookmarkEnd w:id="15"/>
    </w:p>
    <w:p>
      <w:pPr>
        <w:pStyle w:val="24"/>
        <w:pageBreakBefore w:val="0"/>
        <w:numPr>
          <w:ilvl w:val="255"/>
          <w:numId w:val="0"/>
        </w:numPr>
        <w:shd w:val="clear" w:color="000000" w:fill="FFFFFF"/>
        <w:kinsoku/>
        <w:wordWrap/>
        <w:overflowPunct/>
        <w:topLinePunct w:val="0"/>
        <w:autoSpaceDE/>
        <w:autoSpaceDN/>
        <w:bidi w:val="0"/>
        <w:adjustRightInd/>
        <w:snapToGrid/>
        <w:spacing w:line="560" w:lineRule="exact"/>
        <w:ind w:firstLine="0" w:firstLineChars="0"/>
        <w:jc w:val="center"/>
        <w:textAlignment w:val="auto"/>
        <w:outlineLvl w:val="2"/>
        <w:rPr>
          <w:rFonts w:hint="default" w:ascii="楷体" w:hAnsi="楷体" w:eastAsia="楷体" w:cs="楷体"/>
          <w:b/>
          <w:bCs/>
          <w:color w:val="auto"/>
          <w:highlight w:val="none"/>
          <w:lang w:val="en-US" w:eastAsia="zh-CN"/>
        </w:rPr>
      </w:pPr>
      <w:bookmarkStart w:id="16" w:name="_Toc1522"/>
      <w:r>
        <w:rPr>
          <w:rFonts w:hint="eastAsia" w:ascii="楷体" w:hAnsi="楷体" w:eastAsia="楷体" w:cs="楷体"/>
          <w:b/>
          <w:bCs/>
          <w:color w:val="auto"/>
          <w:highlight w:val="none"/>
          <w:lang w:val="en-US" w:eastAsia="zh-CN"/>
        </w:rPr>
        <w:t>第二节 面临形式</w:t>
      </w:r>
      <w:bookmarkEnd w:id="16"/>
    </w:p>
    <w:p>
      <w:pPr>
        <w:pageBreakBefore w:val="0"/>
        <w:widowControl w:val="0"/>
        <w:kinsoku/>
        <w:wordWrap/>
        <w:overflowPunct/>
        <w:topLinePunct w:val="0"/>
        <w:autoSpaceDE/>
        <w:autoSpaceDN/>
        <w:bidi w:val="0"/>
        <w:snapToGrid/>
        <w:spacing w:line="560" w:lineRule="exact"/>
        <w:ind w:firstLine="643" w:firstLineChars="200"/>
        <w:jc w:val="both"/>
        <w:textAlignment w:val="auto"/>
        <w:outlineLvl w:val="3"/>
        <w:rPr>
          <w:rFonts w:hint="default" w:ascii="Times New Roman" w:hAnsi="Times New Roman" w:eastAsia="仿宋_GB2312" w:cs="Times New Roman"/>
          <w:kern w:val="2"/>
          <w:sz w:val="32"/>
          <w:szCs w:val="28"/>
          <w:lang w:val="en-US" w:eastAsia="zh-CN"/>
        </w:rPr>
      </w:pPr>
      <w:bookmarkStart w:id="17" w:name="_Toc230595352"/>
      <w:bookmarkStart w:id="18" w:name="_Toc26503"/>
      <w:r>
        <w:rPr>
          <w:rFonts w:hint="default" w:ascii="Times New Roman" w:hAnsi="Times New Roman" w:eastAsia="仿宋_GB2312" w:cs="Times New Roman"/>
          <w:b/>
          <w:bCs/>
          <w:kern w:val="2"/>
          <w:sz w:val="32"/>
          <w:szCs w:val="28"/>
        </w:rPr>
        <w:t>封关运作赋予行业安全发展新要求。</w:t>
      </w:r>
      <w:r>
        <w:rPr>
          <w:rFonts w:hint="default" w:ascii="Times New Roman" w:hAnsi="Times New Roman" w:eastAsia="仿宋_GB2312" w:cs="Times New Roman"/>
          <w:kern w:val="2"/>
          <w:sz w:val="32"/>
          <w:szCs w:val="28"/>
        </w:rPr>
        <w:t>在全岛封关运作时期，人流、物流更加自由便利，经济总量、产业规模持续扩大，</w:t>
      </w:r>
      <w:r>
        <w:rPr>
          <w:rFonts w:hint="default" w:ascii="Times New Roman" w:hAnsi="Times New Roman" w:eastAsia="仿宋_GB2312" w:cs="Times New Roman"/>
          <w:kern w:val="2"/>
          <w:sz w:val="32"/>
          <w:szCs w:val="28"/>
          <w:lang w:val="zh-CN"/>
        </w:rPr>
        <w:t>废弃物产量持续攀升，</w:t>
      </w:r>
      <w:r>
        <w:rPr>
          <w:rFonts w:hint="default" w:ascii="Times New Roman" w:hAnsi="Times New Roman" w:eastAsia="仿宋_GB2312" w:cs="Times New Roman"/>
          <w:kern w:val="2"/>
          <w:sz w:val="32"/>
          <w:szCs w:val="28"/>
        </w:rPr>
        <w:t>再生资源回收行业具备较大发展潜力，但再生资源跨境、跨区域流动安全风险随之增加。“十五五”时期，需统筹发展与安全，提升行业规范化运营水平，释放行业发展潜力，强化风险防控意识，健全再生资源跨境、跨区域流动监管机制，严守固体废物零进口底线，以高水平安全保障高质量发展。</w:t>
      </w:r>
      <w:bookmarkEnd w:id="17"/>
      <w:r>
        <w:rPr>
          <w:rFonts w:hint="default" w:ascii="Times New Roman" w:hAnsi="Times New Roman" w:eastAsia="仿宋_GB2312" w:cs="Times New Roman"/>
          <w:kern w:val="2"/>
          <w:sz w:val="32"/>
          <w:szCs w:val="28"/>
          <w:lang w:val="en-US" w:eastAsia="zh-CN"/>
        </w:rPr>
        <w:t>全面落实各级工作部署，破解行业现存痛点，结合本区地域特点统筹布局回收交投、分拣转运设施，构建前端归集、中端分拣的闭环回收链条，实现再生资源应收尽收、规范处置，夯实三亚示范城市、海南“无废岛”建设基础。</w:t>
      </w:r>
      <w:bookmarkEnd w:id="18"/>
    </w:p>
    <w:p>
      <w:pPr>
        <w:pageBreakBefore w:val="0"/>
        <w:kinsoku/>
        <w:wordWrap/>
        <w:overflowPunct/>
        <w:topLinePunct w:val="0"/>
        <w:autoSpaceDE/>
        <w:autoSpaceDN/>
        <w:bidi w:val="0"/>
        <w:adjustRightInd w:val="0"/>
        <w:snapToGrid w:val="0"/>
        <w:spacing w:before="0" w:after="0" w:line="560" w:lineRule="exact"/>
        <w:ind w:firstLine="643" w:firstLineChars="200"/>
        <w:textAlignment w:val="auto"/>
        <w:outlineLvl w:val="3"/>
        <w:rPr>
          <w:rFonts w:hint="default" w:ascii="Times New Roman" w:hAnsi="Times New Roman" w:eastAsia="仿宋_GB2312" w:cs="Times New Roman"/>
          <w:kern w:val="2"/>
          <w:sz w:val="32"/>
          <w:szCs w:val="28"/>
        </w:rPr>
      </w:pPr>
      <w:bookmarkStart w:id="19" w:name="_Toc221727922"/>
      <w:bookmarkStart w:id="20" w:name="_Toc230595353"/>
      <w:bookmarkStart w:id="21" w:name="_Toc31030"/>
      <w:r>
        <w:rPr>
          <w:rFonts w:hint="default" w:ascii="Times New Roman" w:hAnsi="Times New Roman" w:eastAsia="仿宋_GB2312" w:cs="Times New Roman"/>
          <w:b/>
          <w:bCs/>
          <w:kern w:val="2"/>
          <w:sz w:val="32"/>
          <w:szCs w:val="28"/>
        </w:rPr>
        <w:t>战略驱动行业高质量绿色发展新理念</w:t>
      </w:r>
      <w:bookmarkEnd w:id="19"/>
      <w:r>
        <w:rPr>
          <w:rFonts w:hint="default" w:ascii="Times New Roman" w:hAnsi="Times New Roman" w:eastAsia="仿宋_GB2312" w:cs="Times New Roman"/>
          <w:b/>
          <w:bCs/>
          <w:kern w:val="2"/>
          <w:sz w:val="32"/>
          <w:szCs w:val="28"/>
        </w:rPr>
        <w:t>。</w:t>
      </w:r>
      <w:r>
        <w:rPr>
          <w:rFonts w:hint="default" w:ascii="Times New Roman" w:hAnsi="Times New Roman" w:eastAsia="仿宋_GB2312" w:cs="Times New Roman"/>
          <w:kern w:val="2"/>
          <w:sz w:val="32"/>
          <w:szCs w:val="28"/>
        </w:rPr>
        <w:t>依托自贸港政策优势和“三度一色”自然优势，“45432”发展架构正在加快形成。经济社会全面绿色转型发展和争当“双碳”优等生任务对再生资源回收行业提出更高要求。“十五五”期间需立足</w:t>
      </w:r>
      <w:r>
        <w:rPr>
          <w:rFonts w:hint="default" w:ascii="Times New Roman" w:hAnsi="Times New Roman" w:eastAsia="仿宋_GB2312" w:cs="Times New Roman"/>
          <w:kern w:val="2"/>
          <w:sz w:val="32"/>
          <w:szCs w:val="28"/>
          <w:lang w:val="zh-CN"/>
        </w:rPr>
        <w:t>“无废岛”“低碳岛”建设、</w:t>
      </w:r>
      <w:r>
        <w:rPr>
          <w:rFonts w:hint="default" w:ascii="Times New Roman" w:hAnsi="Times New Roman" w:eastAsia="仿宋_GB2312" w:cs="Times New Roman"/>
          <w:kern w:val="2"/>
          <w:sz w:val="32"/>
          <w:szCs w:val="28"/>
        </w:rPr>
        <w:t>美丽中国海南先行示范区建设、深化国家生态文明试验区建设，提升再生资源回收行业高值化、绿色化、零碳化发展水平，为</w:t>
      </w:r>
      <w:r>
        <w:rPr>
          <w:rFonts w:hint="default" w:ascii="Times New Roman" w:hAnsi="Times New Roman" w:eastAsia="仿宋_GB2312" w:cs="Times New Roman"/>
          <w:kern w:val="2"/>
          <w:sz w:val="32"/>
          <w:szCs w:val="28"/>
          <w:lang w:val="zh-CN"/>
        </w:rPr>
        <w:t>绿色循环经济体系构建、培育新质生产力、建设美丽海南</w:t>
      </w:r>
      <w:r>
        <w:rPr>
          <w:rFonts w:hint="default" w:ascii="Times New Roman" w:hAnsi="Times New Roman" w:eastAsia="仿宋_GB2312" w:cs="Times New Roman"/>
          <w:kern w:val="2"/>
          <w:sz w:val="32"/>
          <w:szCs w:val="28"/>
        </w:rPr>
        <w:t>提供有力支撑。</w:t>
      </w:r>
      <w:bookmarkEnd w:id="20"/>
      <w:bookmarkEnd w:id="21"/>
    </w:p>
    <w:p>
      <w:pPr>
        <w:pageBreakBefore w:val="0"/>
        <w:kinsoku/>
        <w:wordWrap/>
        <w:overflowPunct/>
        <w:topLinePunct w:val="0"/>
        <w:autoSpaceDE/>
        <w:autoSpaceDN/>
        <w:bidi w:val="0"/>
        <w:adjustRightInd w:val="0"/>
        <w:snapToGrid w:val="0"/>
        <w:spacing w:before="0" w:after="0" w:line="560" w:lineRule="exact"/>
        <w:ind w:firstLine="643" w:firstLineChars="200"/>
        <w:textAlignment w:val="auto"/>
        <w:outlineLvl w:val="3"/>
        <w:rPr>
          <w:rFonts w:hint="default" w:ascii="Times New Roman" w:hAnsi="Times New Roman" w:eastAsia="仿宋_GB2312" w:cs="Times New Roman"/>
          <w:kern w:val="2"/>
          <w:sz w:val="32"/>
          <w:szCs w:val="28"/>
        </w:rPr>
      </w:pPr>
      <w:bookmarkStart w:id="22" w:name="_Toc221727923"/>
      <w:bookmarkStart w:id="23" w:name="_Toc230595354"/>
      <w:bookmarkStart w:id="24" w:name="_Toc6032"/>
      <w:r>
        <w:rPr>
          <w:rFonts w:hint="default" w:ascii="Times New Roman" w:hAnsi="Times New Roman" w:eastAsia="仿宋_GB2312" w:cs="Times New Roman"/>
          <w:b/>
          <w:bCs/>
          <w:kern w:val="2"/>
          <w:sz w:val="32"/>
          <w:szCs w:val="28"/>
        </w:rPr>
        <w:t>数智赋能行业全链条发展新格局</w:t>
      </w:r>
      <w:bookmarkEnd w:id="22"/>
      <w:r>
        <w:rPr>
          <w:rFonts w:hint="default" w:ascii="Times New Roman" w:hAnsi="Times New Roman" w:eastAsia="仿宋_GB2312" w:cs="Times New Roman"/>
          <w:b/>
          <w:bCs/>
          <w:kern w:val="2"/>
          <w:sz w:val="32"/>
          <w:szCs w:val="28"/>
        </w:rPr>
        <w:t>。</w:t>
      </w:r>
      <w:r>
        <w:rPr>
          <w:rFonts w:hint="default" w:ascii="Times New Roman" w:hAnsi="Times New Roman" w:eastAsia="仿宋_GB2312" w:cs="Times New Roman"/>
          <w:kern w:val="2"/>
          <w:sz w:val="32"/>
          <w:szCs w:val="28"/>
        </w:rPr>
        <w:t>废旧物资循环利用体系建设、“城市矿产”示范基地升级、生产者责任延伸制度（EPR）落实需要多方协同参与。物联网、人工智能、自动化分拣等数智化技术广泛应用，驱动再生资源回收行业向智能高效运营转型。“回收—转运—分拣—加工—再制造—产品消费”全链条整合与产业集聚成为主流趋势。</w:t>
      </w:r>
      <w:bookmarkStart w:id="25" w:name="OLE_LINK14"/>
      <w:r>
        <w:rPr>
          <w:rFonts w:hint="default" w:ascii="Times New Roman" w:hAnsi="Times New Roman" w:eastAsia="仿宋_GB2312" w:cs="Times New Roman"/>
          <w:kern w:val="2"/>
          <w:sz w:val="32"/>
          <w:szCs w:val="28"/>
        </w:rPr>
        <w:t>“十五五”时期，需</w:t>
      </w:r>
      <w:bookmarkEnd w:id="25"/>
      <w:r>
        <w:rPr>
          <w:rFonts w:hint="default" w:ascii="Times New Roman" w:hAnsi="Times New Roman" w:eastAsia="仿宋_GB2312" w:cs="Times New Roman"/>
          <w:kern w:val="2"/>
          <w:sz w:val="32"/>
          <w:szCs w:val="28"/>
        </w:rPr>
        <w:t>深刻把握数字技术创新、产业模式升级，打造形成</w:t>
      </w:r>
      <w:bookmarkStart w:id="26" w:name="OLE_LINK29"/>
      <w:r>
        <w:rPr>
          <w:rFonts w:hint="default" w:ascii="Times New Roman" w:hAnsi="Times New Roman" w:eastAsia="仿宋_GB2312" w:cs="Times New Roman"/>
          <w:kern w:val="2"/>
          <w:sz w:val="32"/>
          <w:szCs w:val="28"/>
        </w:rPr>
        <w:t>全链条协同</w:t>
      </w:r>
      <w:bookmarkEnd w:id="26"/>
      <w:r>
        <w:rPr>
          <w:rFonts w:hint="default" w:ascii="Times New Roman" w:hAnsi="Times New Roman" w:eastAsia="仿宋_GB2312" w:cs="Times New Roman"/>
          <w:kern w:val="2"/>
          <w:sz w:val="32"/>
          <w:szCs w:val="28"/>
        </w:rPr>
        <w:t>发展格局。</w:t>
      </w:r>
      <w:bookmarkEnd w:id="23"/>
      <w:bookmarkEnd w:id="24"/>
    </w:p>
    <w:p>
      <w:pPr>
        <w:pStyle w:val="24"/>
        <w:pageBreakBefore w:val="0"/>
        <w:numPr>
          <w:ilvl w:val="255"/>
          <w:numId w:val="0"/>
        </w:numPr>
        <w:shd w:val="clear" w:color="000000" w:fill="FFFFFF"/>
        <w:kinsoku/>
        <w:wordWrap/>
        <w:overflowPunct/>
        <w:topLinePunct w:val="0"/>
        <w:autoSpaceDE/>
        <w:autoSpaceDN/>
        <w:bidi w:val="0"/>
        <w:adjustRightInd/>
        <w:snapToGrid/>
        <w:spacing w:line="560" w:lineRule="exact"/>
        <w:ind w:firstLine="0" w:firstLineChars="0"/>
        <w:jc w:val="center"/>
        <w:textAlignment w:val="auto"/>
        <w:outlineLvl w:val="2"/>
        <w:rPr>
          <w:rFonts w:hint="eastAsia" w:ascii="楷体" w:hAnsi="楷体" w:eastAsia="楷体" w:cs="楷体"/>
          <w:b/>
          <w:bCs/>
          <w:color w:val="auto"/>
          <w:highlight w:val="none"/>
          <w:lang w:val="en-US" w:eastAsia="zh-CN"/>
        </w:rPr>
      </w:pPr>
      <w:bookmarkStart w:id="27" w:name="_Toc7744"/>
      <w:r>
        <w:rPr>
          <w:rFonts w:hint="eastAsia" w:ascii="楷体" w:hAnsi="楷体" w:eastAsia="楷体" w:cs="楷体"/>
          <w:b/>
          <w:bCs/>
          <w:color w:val="auto"/>
          <w:highlight w:val="none"/>
          <w:lang w:val="en-US" w:eastAsia="zh-CN"/>
        </w:rPr>
        <w:t>第三节 分析预测</w:t>
      </w:r>
      <w:bookmarkEnd w:id="27"/>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outlineLvl w:val="3"/>
        <w:rPr>
          <w:rFonts w:hint="default" w:ascii="Times New Roman" w:hAnsi="Times New Roman" w:eastAsia="仿宋_GB2312" w:cs="Times New Roman"/>
          <w:kern w:val="2"/>
          <w:sz w:val="32"/>
          <w:szCs w:val="28"/>
          <w:lang w:val="en-US" w:eastAsia="zh-CN"/>
        </w:rPr>
      </w:pPr>
      <w:bookmarkStart w:id="28" w:name="_Toc4393"/>
      <w:r>
        <w:rPr>
          <w:rFonts w:hint="default" w:ascii="Times New Roman" w:hAnsi="Times New Roman" w:eastAsia="仿宋_GB2312" w:cs="Times New Roman"/>
          <w:b/>
          <w:bCs/>
          <w:kern w:val="2"/>
          <w:sz w:val="32"/>
          <w:szCs w:val="28"/>
          <w:lang w:val="en-US" w:eastAsia="zh-CN"/>
        </w:rPr>
        <w:t>回收量</w:t>
      </w:r>
      <w:r>
        <w:rPr>
          <w:rFonts w:hint="default" w:ascii="Times New Roman" w:hAnsi="Times New Roman" w:eastAsia="仿宋_GB2312" w:cs="Times New Roman"/>
          <w:b/>
          <w:bCs/>
          <w:kern w:val="2"/>
          <w:sz w:val="32"/>
          <w:szCs w:val="28"/>
        </w:rPr>
        <w:t>短期减量调整，中长期持续增长</w:t>
      </w:r>
      <w:r>
        <w:rPr>
          <w:rFonts w:hint="default" w:ascii="Times New Roman" w:hAnsi="Times New Roman" w:eastAsia="仿宋_GB2312" w:cs="Times New Roman"/>
          <w:b/>
          <w:bCs/>
          <w:kern w:val="2"/>
          <w:sz w:val="32"/>
          <w:szCs w:val="28"/>
          <w:lang w:eastAsia="zh-CN"/>
        </w:rPr>
        <w:t>。</w:t>
      </w:r>
      <w:r>
        <w:rPr>
          <w:rFonts w:hint="default" w:ascii="Times New Roman" w:hAnsi="Times New Roman" w:eastAsia="仿宋_GB2312" w:cs="Times New Roman"/>
          <w:kern w:val="2"/>
          <w:sz w:val="32"/>
          <w:szCs w:val="28"/>
          <w:lang w:val="en-US" w:eastAsia="zh-CN"/>
        </w:rPr>
        <w:t>依托历年回收数据研判，2022至2025年辖区回收规模持续扩张。2026 年开展站点整治清退，回收总量短期回落；2027 年标准化网点、分拣中心、两网融合等配套落地，行业转入修复增长阶段。2026-2030 年整体呈现短期调整、中期修复、长期稳定增长的发展态势。</w:t>
      </w:r>
      <w:bookmarkEnd w:id="28"/>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outlineLvl w:val="3"/>
        <w:rPr>
          <w:rFonts w:hint="default" w:ascii="Times New Roman" w:hAnsi="Times New Roman" w:eastAsia="仿宋_GB2312" w:cs="Times New Roman"/>
          <w:b w:val="0"/>
          <w:bCs w:val="0"/>
          <w:kern w:val="2"/>
          <w:sz w:val="32"/>
          <w:szCs w:val="28"/>
          <w:lang w:val="en-US" w:eastAsia="zh-CN"/>
        </w:rPr>
      </w:pPr>
      <w:bookmarkStart w:id="29" w:name="_Toc24310"/>
      <w:r>
        <w:rPr>
          <w:rFonts w:hint="default" w:ascii="Times New Roman" w:hAnsi="Times New Roman" w:eastAsia="仿宋_GB2312" w:cs="Times New Roman"/>
          <w:b/>
          <w:bCs/>
          <w:kern w:val="2"/>
          <w:sz w:val="32"/>
          <w:szCs w:val="28"/>
          <w:lang w:val="en-US" w:eastAsia="zh-CN"/>
        </w:rPr>
        <w:t>回收品类结构清晰，低值扩量、高值增效。</w:t>
      </w:r>
      <w:r>
        <w:rPr>
          <w:rFonts w:hint="default" w:ascii="Times New Roman" w:hAnsi="Times New Roman" w:eastAsia="仿宋_GB2312" w:cs="Times New Roman"/>
          <w:b w:val="0"/>
          <w:bCs w:val="0"/>
          <w:kern w:val="2"/>
          <w:sz w:val="32"/>
          <w:szCs w:val="28"/>
          <w:lang w:val="en-US" w:eastAsia="zh-CN"/>
        </w:rPr>
        <w:t>结合辖区多元产废特点，对2026-2030年各类可回收物回收规模分类预测。回收品类结构分层清晰，废纸、废塑料、废钢铁为回收主体；铜铝、废旧电器等高值物资体量小、经济贡献突出；废玻璃、旧织物等低值可回收物回收占比逐年提升，全品类归集水平持续改善。规划期内各品类同步扩容，低值品类增长潜力突出。</w:t>
      </w:r>
      <w:bookmarkEnd w:id="29"/>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outlineLvl w:val="3"/>
        <w:rPr>
          <w:rFonts w:hint="default" w:ascii="Times New Roman" w:hAnsi="Times New Roman" w:eastAsia="仿宋_GB2312" w:cs="Times New Roman"/>
          <w:b w:val="0"/>
          <w:bCs w:val="0"/>
          <w:kern w:val="2"/>
          <w:sz w:val="32"/>
          <w:szCs w:val="28"/>
          <w:lang w:val="en-US" w:eastAsia="zh-CN"/>
        </w:rPr>
        <w:sectPr>
          <w:footerReference r:id="rId4" w:type="default"/>
          <w:pgSz w:w="11905" w:h="16838"/>
          <w:pgMar w:top="2098" w:right="1474" w:bottom="1984" w:left="1587" w:header="851" w:footer="992" w:gutter="0"/>
          <w:pgNumType w:fmt="decimal" w:start="1"/>
          <w:cols w:space="0" w:num="1"/>
          <w:rtlGutter w:val="0"/>
          <w:docGrid w:type="lines" w:linePitch="439" w:charSpace="0"/>
        </w:sectPr>
      </w:pPr>
      <w:bookmarkStart w:id="30" w:name="_Toc4007"/>
      <w:r>
        <w:rPr>
          <w:rFonts w:hint="default" w:ascii="Times New Roman" w:hAnsi="Times New Roman" w:eastAsia="仿宋_GB2312" w:cs="Times New Roman"/>
          <w:b/>
          <w:bCs/>
          <w:kern w:val="2"/>
          <w:sz w:val="32"/>
          <w:szCs w:val="28"/>
          <w:lang w:val="en-US" w:eastAsia="zh-CN"/>
        </w:rPr>
        <w:t>产值逐步上升，效益持续优化。</w:t>
      </w:r>
      <w:r>
        <w:rPr>
          <w:rFonts w:hint="default" w:ascii="Times New Roman" w:hAnsi="Times New Roman" w:eastAsia="仿宋_GB2312" w:cs="Times New Roman"/>
          <w:b w:val="0"/>
          <w:bCs w:val="0"/>
          <w:kern w:val="2"/>
          <w:sz w:val="32"/>
          <w:szCs w:val="28"/>
          <w:lang w:val="en-US" w:eastAsia="zh-CN"/>
        </w:rPr>
        <w:t>以2025年市场价格为基准测算，2026年整治清退致使行业产值短期下降；2027年标准化回收体系建成带动产值快速回升，后续逐年稳步增长，2030年产值有望突破亿元。产值变化趋势与回收总量基本同步，高附加值品类占比提升将推动产值增速高于回收量增速，产业效益持续优化、稳步提升。</w:t>
      </w:r>
      <w:bookmarkEnd w:id="30"/>
    </w:p>
    <w:p>
      <w:pPr>
        <w:pageBreakBefore w:val="0"/>
        <w:kinsoku/>
        <w:wordWrap/>
        <w:overflowPunct/>
        <w:topLinePunct w:val="0"/>
        <w:autoSpaceDE/>
        <w:autoSpaceDN/>
        <w:bidi w:val="0"/>
        <w:spacing w:line="560" w:lineRule="exact"/>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val="0"/>
        <w:snapToGrid w:val="0"/>
        <w:spacing w:before="0" w:after="0" w:line="560" w:lineRule="exact"/>
        <w:ind w:firstLine="0" w:firstLineChars="0"/>
        <w:jc w:val="center"/>
        <w:textAlignment w:val="auto"/>
        <w:outlineLvl w:val="1"/>
        <w:rPr>
          <w:rFonts w:hint="default" w:ascii="楷体" w:hAnsi="楷体" w:eastAsia="楷体" w:cs="楷体"/>
          <w:b/>
          <w:bCs/>
          <w:color w:val="auto"/>
          <w:highlight w:val="none"/>
          <w:lang w:val="en-US" w:eastAsia="zh-CN"/>
        </w:rPr>
      </w:pPr>
      <w:bookmarkStart w:id="31" w:name="_Toc17977"/>
      <w:r>
        <w:rPr>
          <w:rFonts w:hint="eastAsia" w:eastAsia="黑体"/>
          <w:bCs/>
          <w:kern w:val="44"/>
          <w:sz w:val="32"/>
          <w:szCs w:val="44"/>
          <w:lang w:val="en-US" w:eastAsia="zh-CN"/>
        </w:rPr>
        <w:t>第二章  规划要求</w:t>
      </w:r>
      <w:bookmarkEnd w:id="31"/>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default" w:ascii="楷体" w:hAnsi="楷体" w:eastAsia="楷体" w:cs="楷体"/>
          <w:b/>
          <w:bCs/>
          <w:color w:val="auto"/>
          <w:highlight w:val="none"/>
          <w:lang w:val="en-US" w:eastAsia="zh-CN"/>
        </w:rPr>
      </w:pPr>
      <w:bookmarkStart w:id="32" w:name="_Toc20227"/>
      <w:bookmarkStart w:id="33" w:name="_Toc7125"/>
      <w:bookmarkStart w:id="34" w:name="_Toc10726"/>
      <w:bookmarkStart w:id="35" w:name="_Toc3736"/>
      <w:bookmarkStart w:id="36" w:name="_Toc11823"/>
      <w:bookmarkStart w:id="37" w:name="_Toc5359"/>
      <w:bookmarkStart w:id="38" w:name="_Toc28359"/>
      <w:bookmarkStart w:id="39" w:name="_Toc32298"/>
      <w:bookmarkStart w:id="40" w:name="_Toc641"/>
      <w:bookmarkStart w:id="41" w:name="_Toc25088"/>
      <w:bookmarkStart w:id="42" w:name="_Toc17347"/>
      <w:r>
        <w:rPr>
          <w:rFonts w:hint="eastAsia" w:ascii="楷体" w:hAnsi="楷体" w:eastAsia="楷体" w:cs="楷体"/>
          <w:b/>
          <w:bCs/>
          <w:color w:val="auto"/>
          <w:highlight w:val="none"/>
          <w:lang w:val="en-US" w:eastAsia="zh-CN"/>
        </w:rPr>
        <w:t xml:space="preserve">第一节 </w:t>
      </w:r>
      <w:r>
        <w:rPr>
          <w:rFonts w:hint="default" w:ascii="楷体" w:hAnsi="楷体" w:eastAsia="楷体" w:cs="楷体"/>
          <w:b/>
          <w:bCs/>
          <w:color w:val="auto"/>
          <w:highlight w:val="none"/>
          <w:lang w:val="en-US" w:eastAsia="zh-CN"/>
        </w:rPr>
        <w:t>法律法规</w:t>
      </w:r>
      <w:bookmarkEnd w:id="32"/>
      <w:bookmarkEnd w:id="33"/>
      <w:bookmarkEnd w:id="34"/>
      <w:bookmarkEnd w:id="35"/>
      <w:bookmarkEnd w:id="36"/>
      <w:bookmarkEnd w:id="37"/>
      <w:bookmarkEnd w:id="38"/>
      <w:bookmarkEnd w:id="39"/>
      <w:bookmarkEnd w:id="40"/>
      <w:bookmarkEnd w:id="41"/>
      <w:bookmarkEnd w:id="42"/>
    </w:p>
    <w:p>
      <w:pPr>
        <w:pageBreakBefore w:val="0"/>
        <w:kinsoku/>
        <w:wordWrap/>
        <w:overflowPunct/>
        <w:topLinePunct w:val="0"/>
        <w:autoSpaceDE/>
        <w:autoSpaceDN/>
        <w:bidi w:val="0"/>
        <w:spacing w:line="560" w:lineRule="exact"/>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1.《再生资源回收管理办法》（商务部令2019年第1号，2019年修订）；</w:t>
      </w:r>
    </w:p>
    <w:p>
      <w:pPr>
        <w:pageBreakBefore w:val="0"/>
        <w:kinsoku/>
        <w:wordWrap/>
        <w:overflowPunct/>
        <w:topLinePunct w:val="0"/>
        <w:autoSpaceDE/>
        <w:autoSpaceDN/>
        <w:bidi w:val="0"/>
        <w:spacing w:line="560" w:lineRule="exact"/>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2.《中华人民共和国固体废物污染环境防治法》（2023年修订）；</w:t>
      </w:r>
    </w:p>
    <w:p>
      <w:pPr>
        <w:pageBreakBefore w:val="0"/>
        <w:kinsoku/>
        <w:wordWrap/>
        <w:overflowPunct/>
        <w:topLinePunct w:val="0"/>
        <w:autoSpaceDE/>
        <w:autoSpaceDN/>
        <w:bidi w:val="0"/>
        <w:spacing w:line="560" w:lineRule="exact"/>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3.《海南省生活垃圾管理条例》（2021年修正）；</w:t>
      </w:r>
    </w:p>
    <w:p>
      <w:pPr>
        <w:pageBreakBefore w:val="0"/>
        <w:kinsoku/>
        <w:wordWrap/>
        <w:overflowPunct/>
        <w:topLinePunct w:val="0"/>
        <w:autoSpaceDE/>
        <w:autoSpaceDN/>
        <w:bidi w:val="0"/>
        <w:spacing w:line="560" w:lineRule="exact"/>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4.《三亚市生活垃圾分类管理办法（试行）》（2024年施行）。</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default" w:ascii="楷体" w:hAnsi="楷体" w:eastAsia="楷体" w:cs="楷体"/>
          <w:b/>
          <w:bCs/>
          <w:color w:val="auto"/>
          <w:highlight w:val="none"/>
          <w:lang w:val="en-US" w:eastAsia="zh-CN"/>
        </w:rPr>
      </w:pPr>
      <w:bookmarkStart w:id="43" w:name="_Toc608"/>
      <w:bookmarkStart w:id="44" w:name="_Toc13778"/>
      <w:r>
        <w:rPr>
          <w:rFonts w:hint="eastAsia" w:ascii="楷体" w:hAnsi="楷体" w:eastAsia="楷体" w:cs="楷体"/>
          <w:b/>
          <w:bCs/>
          <w:color w:val="auto"/>
          <w:highlight w:val="none"/>
          <w:lang w:val="en-US" w:eastAsia="zh-CN"/>
        </w:rPr>
        <w:t xml:space="preserve">第二节 </w:t>
      </w:r>
      <w:r>
        <w:rPr>
          <w:rFonts w:hint="default" w:ascii="楷体" w:hAnsi="楷体" w:eastAsia="楷体" w:cs="楷体"/>
          <w:b/>
          <w:bCs/>
          <w:color w:val="auto"/>
          <w:highlight w:val="none"/>
          <w:lang w:val="en-US" w:eastAsia="zh-CN"/>
        </w:rPr>
        <w:t>标准规范</w:t>
      </w:r>
      <w:bookmarkEnd w:id="43"/>
      <w:bookmarkEnd w:id="44"/>
    </w:p>
    <w:p>
      <w:pPr>
        <w:pageBreakBefore w:val="0"/>
        <w:kinsoku/>
        <w:wordWrap/>
        <w:overflowPunct/>
        <w:topLinePunct w:val="0"/>
        <w:autoSpaceDE/>
        <w:autoSpaceDN/>
        <w:bidi w:val="0"/>
        <w:spacing w:line="560" w:lineRule="exact"/>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《再生资源回收体系建设规范》（GB/T37515-2019）</w:t>
      </w:r>
      <w:r>
        <w:rPr>
          <w:rFonts w:hint="default" w:ascii="Times New Roman" w:hAnsi="Times New Roman" w:eastAsia="仿宋_GB2312" w:cs="Times New Roman"/>
          <w:sz w:val="32"/>
          <w:szCs w:val="32"/>
          <w:lang w:eastAsia="zh-CN"/>
        </w:rPr>
        <w:t>；</w:t>
      </w:r>
    </w:p>
    <w:p>
      <w:pPr>
        <w:pageBreakBefore w:val="0"/>
        <w:kinsoku/>
        <w:wordWrap/>
        <w:overflowPunct/>
        <w:topLinePunct w:val="0"/>
        <w:autoSpaceDE/>
        <w:autoSpaceDN/>
        <w:bidi w:val="0"/>
        <w:spacing w:line="560" w:lineRule="exact"/>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《再生资源回收利用体系回收站点建设规范》（GB/T45732-2025）</w:t>
      </w:r>
      <w:r>
        <w:rPr>
          <w:rFonts w:hint="default" w:ascii="Times New Roman" w:hAnsi="Times New Roman" w:eastAsia="仿宋_GB2312" w:cs="Times New Roman"/>
          <w:sz w:val="32"/>
          <w:szCs w:val="32"/>
          <w:lang w:eastAsia="zh-CN"/>
        </w:rPr>
        <w:t>；</w:t>
      </w:r>
    </w:p>
    <w:p>
      <w:pPr>
        <w:pageBreakBefore w:val="0"/>
        <w:kinsoku/>
        <w:wordWrap/>
        <w:overflowPunct/>
        <w:topLinePunct w:val="0"/>
        <w:autoSpaceDE/>
        <w:autoSpaceDN/>
        <w:bidi w:val="0"/>
        <w:spacing w:line="560" w:lineRule="exact"/>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《一般工业固体废物贮存和填埋污染控制标准》（GB18599-2020）</w:t>
      </w:r>
      <w:r>
        <w:rPr>
          <w:rFonts w:hint="default" w:ascii="Times New Roman" w:hAnsi="Times New Roman" w:eastAsia="仿宋_GB2312" w:cs="Times New Roman"/>
          <w:sz w:val="32"/>
          <w:szCs w:val="32"/>
          <w:lang w:eastAsia="zh-CN"/>
        </w:rPr>
        <w:t>；</w:t>
      </w:r>
    </w:p>
    <w:p>
      <w:pPr>
        <w:pageBreakBefore w:val="0"/>
        <w:kinsoku/>
        <w:wordWrap/>
        <w:overflowPunct/>
        <w:topLinePunct w:val="0"/>
        <w:autoSpaceDE/>
        <w:autoSpaceDN/>
        <w:bidi w:val="0"/>
        <w:spacing w:line="560" w:lineRule="exact"/>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《危险废物贮存污染控制标准》（GB18597-2023）</w:t>
      </w:r>
      <w:r>
        <w:rPr>
          <w:rFonts w:hint="default" w:ascii="Times New Roman" w:hAnsi="Times New Roman" w:eastAsia="仿宋_GB2312" w:cs="Times New Roman"/>
          <w:sz w:val="32"/>
          <w:szCs w:val="32"/>
          <w:lang w:eastAsia="zh-CN"/>
        </w:rPr>
        <w:t>；</w:t>
      </w:r>
    </w:p>
    <w:p>
      <w:pPr>
        <w:pageBreakBefore w:val="0"/>
        <w:kinsoku/>
        <w:wordWrap/>
        <w:overflowPunct/>
        <w:topLinePunct w:val="0"/>
        <w:autoSpaceDE/>
        <w:autoSpaceDN/>
        <w:bidi w:val="0"/>
        <w:spacing w:line="560" w:lineRule="exact"/>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《安全色和安全标志》（GB2894-2025）</w:t>
      </w:r>
      <w:r>
        <w:rPr>
          <w:rFonts w:hint="default" w:ascii="Times New Roman" w:hAnsi="Times New Roman" w:eastAsia="仿宋_GB2312" w:cs="Times New Roman"/>
          <w:sz w:val="32"/>
          <w:szCs w:val="32"/>
          <w:lang w:eastAsia="zh-CN"/>
        </w:rPr>
        <w:t>；</w:t>
      </w:r>
    </w:p>
    <w:p>
      <w:pPr>
        <w:pageBreakBefore w:val="0"/>
        <w:kinsoku/>
        <w:wordWrap/>
        <w:overflowPunct/>
        <w:topLinePunct w:val="0"/>
        <w:autoSpaceDE/>
        <w:autoSpaceDN/>
        <w:bidi w:val="0"/>
        <w:spacing w:line="560" w:lineRule="exact"/>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《建筑灭火器配置设计规范》（GB50140-2005）</w:t>
      </w:r>
      <w:r>
        <w:rPr>
          <w:rFonts w:hint="default" w:ascii="Times New Roman" w:hAnsi="Times New Roman" w:eastAsia="仿宋_GB2312" w:cs="Times New Roman"/>
          <w:sz w:val="32"/>
          <w:szCs w:val="32"/>
          <w:lang w:eastAsia="zh-CN"/>
        </w:rPr>
        <w:t>；</w:t>
      </w:r>
    </w:p>
    <w:p>
      <w:pPr>
        <w:pageBreakBefore w:val="0"/>
        <w:kinsoku/>
        <w:wordWrap/>
        <w:overflowPunct/>
        <w:topLinePunct w:val="0"/>
        <w:autoSpaceDE/>
        <w:autoSpaceDN/>
        <w:bidi w:val="0"/>
        <w:spacing w:line="560" w:lineRule="exact"/>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《污水综合排放标准》（GB8979-1996）</w:t>
      </w:r>
      <w:r>
        <w:rPr>
          <w:rFonts w:hint="default" w:ascii="Times New Roman" w:hAnsi="Times New Roman" w:eastAsia="仿宋_GB2312" w:cs="Times New Roman"/>
          <w:sz w:val="32"/>
          <w:szCs w:val="32"/>
          <w:lang w:eastAsia="zh-CN"/>
        </w:rPr>
        <w:t>；</w:t>
      </w:r>
    </w:p>
    <w:p>
      <w:pPr>
        <w:pageBreakBefore w:val="0"/>
        <w:kinsoku/>
        <w:wordWrap/>
        <w:overflowPunct/>
        <w:topLinePunct w:val="0"/>
        <w:autoSpaceDE/>
        <w:autoSpaceDN/>
        <w:bidi w:val="0"/>
        <w:spacing w:line="560" w:lineRule="exact"/>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《再生资源绿色分拣中心建设管理规范》（SB/T10720-2021）</w:t>
      </w:r>
      <w:r>
        <w:rPr>
          <w:rFonts w:hint="default" w:ascii="Times New Roman" w:hAnsi="Times New Roman" w:eastAsia="仿宋_GB2312" w:cs="Times New Roman"/>
          <w:sz w:val="32"/>
          <w:szCs w:val="32"/>
          <w:lang w:eastAsia="zh-CN"/>
        </w:rPr>
        <w:t>；</w:t>
      </w:r>
    </w:p>
    <w:p>
      <w:pPr>
        <w:pageBreakBefore w:val="0"/>
        <w:kinsoku/>
        <w:wordWrap/>
        <w:overflowPunct/>
        <w:topLinePunct w:val="0"/>
        <w:autoSpaceDE/>
        <w:autoSpaceDN/>
        <w:bidi w:val="0"/>
        <w:spacing w:line="560" w:lineRule="exact"/>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《再生资源回收站点建设管理规范》（SB/T10719-2026）</w:t>
      </w:r>
      <w:r>
        <w:rPr>
          <w:rFonts w:hint="default" w:ascii="Times New Roman" w:hAnsi="Times New Roman" w:eastAsia="仿宋_GB2312" w:cs="Times New Roman"/>
          <w:sz w:val="32"/>
          <w:szCs w:val="32"/>
          <w:lang w:eastAsia="zh-CN"/>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default" w:ascii="楷体" w:hAnsi="楷体" w:eastAsia="楷体" w:cs="楷体"/>
          <w:b/>
          <w:bCs/>
          <w:color w:val="auto"/>
          <w:highlight w:val="none"/>
          <w:lang w:val="en-US" w:eastAsia="zh-CN"/>
        </w:rPr>
      </w:pPr>
      <w:bookmarkStart w:id="45" w:name="_Toc15478"/>
      <w:bookmarkStart w:id="46" w:name="_Toc26431"/>
      <w:bookmarkStart w:id="47" w:name="_Toc31208"/>
      <w:bookmarkStart w:id="48" w:name="_Toc16468"/>
      <w:bookmarkStart w:id="49" w:name="_Toc26001"/>
      <w:bookmarkStart w:id="50" w:name="_Toc2701"/>
      <w:bookmarkStart w:id="51" w:name="_Toc21512"/>
      <w:bookmarkStart w:id="52" w:name="_Toc31603"/>
      <w:bookmarkStart w:id="53" w:name="_Toc12690"/>
      <w:bookmarkStart w:id="54" w:name="_Toc26301"/>
      <w:bookmarkStart w:id="55" w:name="_Toc29773"/>
      <w:r>
        <w:rPr>
          <w:rFonts w:hint="eastAsia" w:ascii="楷体" w:hAnsi="楷体" w:eastAsia="楷体" w:cs="楷体"/>
          <w:b/>
          <w:bCs/>
          <w:color w:val="auto"/>
          <w:highlight w:val="none"/>
          <w:lang w:val="en-US" w:eastAsia="zh-CN"/>
        </w:rPr>
        <w:t xml:space="preserve">第三节 </w:t>
      </w:r>
      <w:r>
        <w:rPr>
          <w:rFonts w:hint="default" w:ascii="楷体" w:hAnsi="楷体" w:eastAsia="楷体" w:cs="楷体"/>
          <w:b/>
          <w:bCs/>
          <w:color w:val="auto"/>
          <w:highlight w:val="none"/>
          <w:lang w:val="en-US" w:eastAsia="zh-CN"/>
        </w:rPr>
        <w:t>政策文件</w:t>
      </w:r>
      <w:bookmarkEnd w:id="45"/>
      <w:bookmarkEnd w:id="46"/>
      <w:bookmarkEnd w:id="47"/>
      <w:bookmarkEnd w:id="48"/>
      <w:bookmarkEnd w:id="49"/>
      <w:bookmarkEnd w:id="50"/>
      <w:bookmarkEnd w:id="51"/>
      <w:bookmarkEnd w:id="52"/>
      <w:bookmarkEnd w:id="53"/>
      <w:bookmarkEnd w:id="54"/>
      <w:bookmarkEnd w:id="55"/>
    </w:p>
    <w:p>
      <w:pPr>
        <w:pageBreakBefore w:val="0"/>
        <w:kinsoku/>
        <w:wordWrap/>
        <w:overflowPunct/>
        <w:topLinePunct w:val="0"/>
        <w:autoSpaceDE/>
        <w:autoSpaceDN/>
        <w:bidi w:val="0"/>
        <w:spacing w:line="560" w:lineRule="exact"/>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val="0"/>
          <w:bCs w:val="0"/>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lang w:val="en-US" w:eastAsia="zh-CN"/>
        </w:rPr>
        <w:t>《“十四五”循环经济发展规划》（发改环资〔2021〕969号）；</w:t>
      </w:r>
    </w:p>
    <w:p>
      <w:pPr>
        <w:pageBreakBefore w:val="0"/>
        <w:kinsoku/>
        <w:wordWrap/>
        <w:overflowPunct/>
        <w:topLinePunct w:val="0"/>
        <w:autoSpaceDE/>
        <w:autoSpaceDN/>
        <w:bidi w:val="0"/>
        <w:spacing w:line="560" w:lineRule="exact"/>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2.《关于加快废旧物资循环利用体系建设的指导意见》（发改环资〔2022〕109号）。</w:t>
      </w:r>
    </w:p>
    <w:p>
      <w:pPr>
        <w:pageBreakBefore w:val="0"/>
        <w:kinsoku/>
        <w:wordWrap/>
        <w:overflowPunct/>
        <w:topLinePunct w:val="0"/>
        <w:autoSpaceDE/>
        <w:autoSpaceDN/>
        <w:bidi w:val="0"/>
        <w:spacing w:line="560" w:lineRule="exact"/>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3.《海南省循环经济发展“十四五”规划》（琼发改环资〔2021〕754号）；</w:t>
      </w:r>
    </w:p>
    <w:p>
      <w:pPr>
        <w:pageBreakBefore w:val="0"/>
        <w:kinsoku/>
        <w:wordWrap/>
        <w:overflowPunct/>
        <w:topLinePunct w:val="0"/>
        <w:autoSpaceDE/>
        <w:autoSpaceDN/>
        <w:bidi w:val="0"/>
        <w:spacing w:line="560" w:lineRule="exact"/>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4.《海南省“十五五”再生资源回收行业发展规划）；</w:t>
      </w:r>
    </w:p>
    <w:p>
      <w:pPr>
        <w:pageBreakBefore w:val="0"/>
        <w:kinsoku/>
        <w:wordWrap/>
        <w:overflowPunct/>
        <w:topLinePunct w:val="0"/>
        <w:autoSpaceDE/>
        <w:autoSpaceDN/>
        <w:bidi w:val="0"/>
        <w:spacing w:line="560" w:lineRule="exact"/>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5.《海南省“无废城市”建设试点实施方案》（琼府办〔2019〕64号）；</w:t>
      </w:r>
    </w:p>
    <w:p>
      <w:pPr>
        <w:pageBreakBefore w:val="0"/>
        <w:kinsoku/>
        <w:wordWrap/>
        <w:overflowPunct/>
        <w:topLinePunct w:val="0"/>
        <w:autoSpaceDE/>
        <w:autoSpaceDN/>
        <w:bidi w:val="0"/>
        <w:spacing w:line="560" w:lineRule="exact"/>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6.《海南省“无废岛”建设总体方案》（琼府办〔2022〕30号）；</w:t>
      </w:r>
    </w:p>
    <w:p>
      <w:pPr>
        <w:pageBreakBefore w:val="0"/>
        <w:kinsoku/>
        <w:wordWrap/>
        <w:overflowPunct/>
        <w:topLinePunct w:val="0"/>
        <w:autoSpaceDE/>
        <w:autoSpaceDN/>
        <w:bidi w:val="0"/>
        <w:spacing w:line="560" w:lineRule="exact"/>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7.《海南省再生资源回收经营者备案管理办法》（琼商务规〔2022〕3号，2022年修订）；</w:t>
      </w:r>
    </w:p>
    <w:p>
      <w:pPr>
        <w:pageBreakBefore w:val="0"/>
        <w:kinsoku/>
        <w:wordWrap/>
        <w:overflowPunct/>
        <w:topLinePunct w:val="0"/>
        <w:autoSpaceDE/>
        <w:autoSpaceDN/>
        <w:bidi w:val="0"/>
        <w:spacing w:line="560" w:lineRule="exact"/>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8.《海南低碳岛建设方案》（琼府〔2025〕37号）；</w:t>
      </w:r>
    </w:p>
    <w:p>
      <w:pPr>
        <w:pageBreakBefore w:val="0"/>
        <w:kinsoku/>
        <w:wordWrap/>
        <w:overflowPunct/>
        <w:topLinePunct w:val="0"/>
        <w:autoSpaceDE/>
        <w:autoSpaceDN/>
        <w:bidi w:val="0"/>
        <w:spacing w:line="560" w:lineRule="exact"/>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9.《海南省深化推进“无废岛”建设工作方案（2025-2030年）》（琼府办函〔2024〕364号）。</w:t>
      </w:r>
    </w:p>
    <w:p>
      <w:pPr>
        <w:pageBreakBefore w:val="0"/>
        <w:kinsoku/>
        <w:wordWrap/>
        <w:overflowPunct/>
        <w:topLinePunct w:val="0"/>
        <w:autoSpaceDE/>
        <w:autoSpaceDN/>
        <w:bidi w:val="0"/>
        <w:spacing w:line="560" w:lineRule="exact"/>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val="0"/>
          <w:bCs w:val="0"/>
          <w:color w:val="auto"/>
          <w:sz w:val="32"/>
          <w:szCs w:val="32"/>
          <w:highlight w:val="none"/>
          <w:lang w:val="en-US" w:eastAsia="zh-CN"/>
        </w:rPr>
        <w:t>10.</w:t>
      </w:r>
      <w:r>
        <w:rPr>
          <w:rFonts w:hint="default" w:ascii="Times New Roman" w:hAnsi="Times New Roman" w:eastAsia="仿宋_GB2312" w:cs="Times New Roman"/>
          <w:color w:val="auto"/>
          <w:sz w:val="32"/>
          <w:szCs w:val="32"/>
          <w:highlight w:val="none"/>
          <w:lang w:val="en-US" w:eastAsia="zh-CN"/>
        </w:rPr>
        <w:t>《三亚市再生资源回收体系“十四五”发展规划》（三商务字〔2021〕249号）；</w:t>
      </w:r>
    </w:p>
    <w:p>
      <w:pPr>
        <w:pageBreakBefore w:val="0"/>
        <w:kinsoku/>
        <w:wordWrap/>
        <w:overflowPunct/>
        <w:topLinePunct w:val="0"/>
        <w:autoSpaceDE/>
        <w:autoSpaceDN/>
        <w:bidi w:val="0"/>
        <w:spacing w:line="560" w:lineRule="exact"/>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11.《三亚市商务局关于规范再生资源回收网点的通知》（三商务字〔2022〕193号）；</w:t>
      </w:r>
    </w:p>
    <w:p>
      <w:pPr>
        <w:pageBreakBefore w:val="0"/>
        <w:kinsoku/>
        <w:wordWrap/>
        <w:overflowPunct/>
        <w:topLinePunct w:val="0"/>
        <w:autoSpaceDE/>
        <w:autoSpaceDN/>
        <w:bidi w:val="0"/>
        <w:spacing w:line="560" w:lineRule="exact"/>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12.《关于联合印发&lt;三亚市再生资源回收管理实施细则&gt;的通知》（三商规〔2022〕207号）；</w:t>
      </w:r>
    </w:p>
    <w:p>
      <w:pPr>
        <w:pageBreakBefore w:val="0"/>
        <w:kinsoku/>
        <w:wordWrap/>
        <w:overflowPunct/>
        <w:topLinePunct w:val="0"/>
        <w:autoSpaceDE/>
        <w:autoSpaceDN/>
        <w:bidi w:val="0"/>
        <w:spacing w:line="560" w:lineRule="exact"/>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13.《三亚市“无废城市”建设深化实施方案（2025-2027年）》（三府办〔2025〕8号）</w:t>
      </w:r>
      <w:bookmarkStart w:id="56" w:name="_Toc1965"/>
      <w:bookmarkStart w:id="57" w:name="_Toc29677"/>
      <w:bookmarkStart w:id="58" w:name="_Toc5028"/>
      <w:bookmarkStart w:id="59" w:name="_Toc17290"/>
      <w:bookmarkStart w:id="60" w:name="_Toc15235"/>
      <w:bookmarkStart w:id="61" w:name="_Toc19506"/>
      <w:bookmarkStart w:id="62" w:name="_Toc3143"/>
      <w:bookmarkStart w:id="63" w:name="_Toc27820"/>
    </w:p>
    <w:p>
      <w:pPr>
        <w:pageBreakBefore w:val="0"/>
        <w:kinsoku/>
        <w:wordWrap/>
        <w:overflowPunct/>
        <w:topLinePunct w:val="0"/>
        <w:autoSpaceDE/>
        <w:autoSpaceDN/>
        <w:bidi w:val="0"/>
        <w:spacing w:line="560" w:lineRule="exact"/>
        <w:textAlignment w:val="auto"/>
        <w:rPr>
          <w:rFonts w:hint="default" w:ascii="Times New Roman" w:hAnsi="Times New Roman" w:eastAsia="仿宋_GB2312" w:cs="Times New Roman"/>
          <w:color w:val="auto"/>
          <w:sz w:val="32"/>
          <w:szCs w:val="32"/>
          <w:highlight w:val="none"/>
          <w:lang w:val="en-US" w:eastAsia="zh-CN"/>
        </w:rPr>
        <w:sectPr>
          <w:pgSz w:w="11905" w:h="16838"/>
          <w:pgMar w:top="2098" w:right="1474" w:bottom="1984" w:left="1587" w:header="851" w:footer="992" w:gutter="0"/>
          <w:pgNumType w:fmt="decimal" w:start="1"/>
          <w:cols w:space="0" w:num="1"/>
          <w:rtlGutter w:val="0"/>
          <w:docGrid w:type="lines" w:linePitch="439" w:charSpace="0"/>
        </w:sectPr>
      </w:pPr>
      <w:r>
        <w:rPr>
          <w:rFonts w:hint="default" w:ascii="Times New Roman" w:hAnsi="Times New Roman" w:eastAsia="仿宋_GB2312" w:cs="Times New Roman"/>
          <w:lang w:val="en-US" w:eastAsia="zh-CN"/>
        </w:rPr>
        <w:t>14.</w:t>
      </w:r>
      <w:r>
        <w:rPr>
          <w:rFonts w:hint="default" w:ascii="Times New Roman" w:hAnsi="Times New Roman" w:eastAsia="仿宋_GB2312" w:cs="Times New Roman"/>
          <w:color w:val="auto"/>
          <w:sz w:val="32"/>
          <w:szCs w:val="32"/>
          <w:highlight w:val="none"/>
          <w:lang w:val="en-US" w:eastAsia="zh-CN"/>
        </w:rPr>
        <w:t>《三亚市人民政府&lt;关于加强环岛旅游公路沿线及驿站用地管控&gt;的通告》三府〔2022〕208号</w:t>
      </w:r>
    </w:p>
    <w:bookmarkEnd w:id="56"/>
    <w:bookmarkEnd w:id="57"/>
    <w:bookmarkEnd w:id="58"/>
    <w:bookmarkEnd w:id="59"/>
    <w:bookmarkEnd w:id="60"/>
    <w:bookmarkEnd w:id="61"/>
    <w:bookmarkEnd w:id="62"/>
    <w:bookmarkEnd w:id="63"/>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eastAsia" w:ascii="楷体" w:hAnsi="楷体" w:eastAsia="楷体" w:cs="楷体"/>
          <w:b/>
          <w:bCs/>
          <w:color w:val="auto"/>
          <w:highlight w:val="none"/>
          <w:lang w:val="en-US" w:eastAsia="zh-CN"/>
        </w:rPr>
      </w:pPr>
      <w:bookmarkStart w:id="64" w:name="_Toc8887"/>
      <w:bookmarkStart w:id="65" w:name="_Toc21601"/>
      <w:bookmarkStart w:id="66" w:name="_Toc13201"/>
      <w:bookmarkStart w:id="67" w:name="_Toc16277"/>
      <w:bookmarkStart w:id="68" w:name="_Toc11248"/>
      <w:bookmarkStart w:id="69" w:name="_Toc18126"/>
      <w:bookmarkStart w:id="70" w:name="_Toc9462"/>
      <w:bookmarkStart w:id="71" w:name="_Toc14415"/>
      <w:bookmarkStart w:id="72" w:name="_Toc3685"/>
      <w:bookmarkStart w:id="73" w:name="_Toc31411"/>
      <w:bookmarkStart w:id="74" w:name="_Toc15575"/>
      <w:r>
        <w:rPr>
          <w:rFonts w:hint="eastAsia" w:ascii="楷体" w:hAnsi="楷体" w:eastAsia="楷体" w:cs="楷体"/>
          <w:b/>
          <w:bCs/>
          <w:color w:val="auto"/>
          <w:highlight w:val="none"/>
          <w:lang w:val="en-US" w:eastAsia="zh-CN"/>
        </w:rPr>
        <w:t>第四节 指导思想</w:t>
      </w:r>
      <w:bookmarkEnd w:id="64"/>
      <w:bookmarkEnd w:id="65"/>
      <w:bookmarkEnd w:id="66"/>
      <w:bookmarkEnd w:id="67"/>
      <w:bookmarkEnd w:id="68"/>
      <w:bookmarkEnd w:id="69"/>
      <w:bookmarkEnd w:id="70"/>
      <w:bookmarkEnd w:id="71"/>
      <w:bookmarkEnd w:id="72"/>
      <w:bookmarkEnd w:id="73"/>
      <w:bookmarkEnd w:id="74"/>
    </w:p>
    <w:p>
      <w:pPr>
        <w:pageBreakBefore w:val="0"/>
        <w:kinsoku/>
        <w:wordWrap/>
        <w:overflowPunct/>
        <w:topLinePunct w:val="0"/>
        <w:autoSpaceDE/>
        <w:autoSpaceDN/>
        <w:bidi w:val="0"/>
        <w:spacing w:line="560" w:lineRule="exact"/>
        <w:jc w:val="both"/>
        <w:textAlignment w:val="auto"/>
        <w:rPr>
          <w:rFonts w:hint="default" w:ascii="Times New Roman" w:hAnsi="Times New Roman" w:eastAsia="仿宋_GB2312" w:cs="Times New Roman"/>
          <w:kern w:val="2"/>
          <w:sz w:val="32"/>
          <w:szCs w:val="32"/>
          <w:lang w:val="en-US" w:eastAsia="zh-CN"/>
        </w:rPr>
      </w:pPr>
      <w:r>
        <w:rPr>
          <w:rFonts w:hint="default" w:ascii="Times New Roman" w:hAnsi="Times New Roman" w:eastAsia="仿宋_GB2312" w:cs="Times New Roman"/>
          <w:kern w:val="2"/>
          <w:sz w:val="32"/>
          <w:szCs w:val="32"/>
        </w:rPr>
        <w:t>以习近平新时代中国特色社会主义思想为指导，全面贯彻党的二十大和二十届历次全会精神，深入贯彻落实习近平总书记关于海南工作的系列重要讲话和指示批示精神，立足自贸港“三区一中心”战略定位，紧扣“无废岛”建设和“低碳岛”目标，加快构建全省再生资源回收行业新发展格局，着力推动再生资源回收行业高质量发展。</w:t>
      </w:r>
      <w:r>
        <w:rPr>
          <w:rFonts w:hint="default" w:ascii="Times New Roman" w:hAnsi="Times New Roman" w:eastAsia="仿宋_GB2312" w:cs="Times New Roman"/>
          <w:kern w:val="2"/>
          <w:sz w:val="32"/>
          <w:szCs w:val="32"/>
          <w:lang w:val="en-US" w:eastAsia="zh-CN"/>
        </w:rPr>
        <w:t>以生态文明建设为引领，以“无废城市”“无废岛”建设为目标，坚持政府引导、市场运作、便民利产、分类施策，结合天涯区中心城区、旅游景区、农业乡村、渔业海岸、山区林地、海岛（西岛）多元空间特征，构建标准化前端交投、规范化中端分拣、规模化末端利用的三级再生资源回收利用体系，实现全域覆盖、规范运营、陆海统筹保障。</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eastAsia" w:ascii="楷体" w:hAnsi="楷体" w:eastAsia="楷体" w:cs="楷体"/>
          <w:b/>
          <w:bCs/>
          <w:color w:val="auto"/>
          <w:highlight w:val="none"/>
          <w:lang w:val="en-US" w:eastAsia="zh-CN"/>
        </w:rPr>
      </w:pPr>
      <w:bookmarkStart w:id="75" w:name="_Toc20862"/>
      <w:r>
        <w:rPr>
          <w:rFonts w:hint="eastAsia" w:ascii="楷体" w:hAnsi="楷体" w:eastAsia="楷体" w:cs="楷体"/>
          <w:b/>
          <w:bCs/>
          <w:color w:val="auto"/>
          <w:highlight w:val="none"/>
          <w:lang w:val="en-US" w:eastAsia="zh-CN"/>
        </w:rPr>
        <w:t>第五节 基本原则</w:t>
      </w:r>
      <w:bookmarkEnd w:id="75"/>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outlineLvl w:val="3"/>
        <w:rPr>
          <w:rFonts w:hint="default" w:ascii="Times New Roman" w:hAnsi="Times New Roman" w:eastAsia="仿宋_GB2312" w:cs="Times New Roman"/>
          <w:sz w:val="32"/>
          <w:szCs w:val="32"/>
          <w:lang w:val="en-US" w:eastAsia="zh-CN"/>
        </w:rPr>
      </w:pPr>
      <w:bookmarkStart w:id="76" w:name="_Toc9946"/>
      <w:bookmarkStart w:id="77" w:name="_Toc20088"/>
      <w:bookmarkStart w:id="78" w:name="_Toc13820"/>
      <w:bookmarkStart w:id="79" w:name="_Toc13993"/>
      <w:bookmarkStart w:id="80" w:name="_Toc20835"/>
      <w:bookmarkStart w:id="81" w:name="_Toc17063"/>
      <w:bookmarkStart w:id="82" w:name="_Toc29847"/>
      <w:bookmarkStart w:id="83" w:name="_Toc11827"/>
      <w:bookmarkStart w:id="84" w:name="_Toc30848"/>
      <w:bookmarkStart w:id="85" w:name="_Toc6696"/>
      <w:r>
        <w:rPr>
          <w:rFonts w:hint="default" w:ascii="Times New Roman" w:hAnsi="Times New Roman" w:eastAsia="仿宋_GB2312" w:cs="Times New Roman"/>
          <w:b/>
          <w:bCs/>
          <w:sz w:val="32"/>
          <w:szCs w:val="32"/>
          <w:lang w:val="en-US" w:eastAsia="zh-CN"/>
        </w:rPr>
        <w:t>政府引导，市场运作</w:t>
      </w:r>
      <w:bookmarkEnd w:id="76"/>
      <w:bookmarkEnd w:id="77"/>
      <w:bookmarkEnd w:id="78"/>
      <w:bookmarkEnd w:id="79"/>
      <w:bookmarkEnd w:id="80"/>
      <w:bookmarkEnd w:id="81"/>
      <w:bookmarkEnd w:id="82"/>
      <w:bookmarkEnd w:id="83"/>
      <w:bookmarkEnd w:id="84"/>
      <w:r>
        <w:rPr>
          <w:rFonts w:hint="default" w:ascii="Times New Roman" w:hAnsi="Times New Roman" w:eastAsia="仿宋_GB2312" w:cs="Times New Roman"/>
          <w:b/>
          <w:bCs/>
          <w:sz w:val="32"/>
          <w:szCs w:val="32"/>
          <w:lang w:val="en-US" w:eastAsia="zh-CN"/>
        </w:rPr>
        <w:t>。</w:t>
      </w:r>
      <w:r>
        <w:rPr>
          <w:rFonts w:hint="default" w:ascii="Times New Roman" w:hAnsi="Times New Roman" w:eastAsia="仿宋_GB2312" w:cs="Times New Roman"/>
          <w:b w:val="0"/>
          <w:bCs w:val="0"/>
          <w:sz w:val="32"/>
          <w:szCs w:val="32"/>
          <w:lang w:val="en-US" w:eastAsia="zh-CN"/>
        </w:rPr>
        <w:t>充分发挥政府在政策制定、规划引导、市场监管等方面的作用，完善再生资源回收体系的政策保障和规范管理。同时，要发挥市场在资源配置中的决定性作用，引导社会资本积极参与再生资源回收体系建设，形成政府引导、市场主导、社会参与的良好格局。</w:t>
      </w:r>
      <w:bookmarkEnd w:id="85"/>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outlineLvl w:val="3"/>
        <w:rPr>
          <w:rFonts w:hint="default" w:ascii="Times New Roman" w:hAnsi="Times New Roman" w:eastAsia="仿宋_GB2312" w:cs="Times New Roman"/>
          <w:b w:val="0"/>
          <w:bCs w:val="0"/>
          <w:sz w:val="32"/>
          <w:szCs w:val="32"/>
          <w:lang w:val="en-US" w:eastAsia="zh-CN"/>
        </w:rPr>
      </w:pPr>
      <w:bookmarkStart w:id="86" w:name="_Toc6011"/>
      <w:bookmarkStart w:id="87" w:name="_Toc9350"/>
      <w:bookmarkStart w:id="88" w:name="_Toc20938"/>
      <w:bookmarkStart w:id="89" w:name="_Toc3751"/>
      <w:bookmarkStart w:id="90" w:name="_Toc1115"/>
      <w:bookmarkStart w:id="91" w:name="_Toc21435"/>
      <w:bookmarkStart w:id="92" w:name="_Toc12123"/>
      <w:bookmarkStart w:id="93" w:name="_Toc439"/>
      <w:bookmarkStart w:id="94" w:name="_Toc26629"/>
      <w:bookmarkStart w:id="95" w:name="_Toc30715"/>
      <w:r>
        <w:rPr>
          <w:rFonts w:hint="default" w:ascii="Times New Roman" w:hAnsi="Times New Roman" w:eastAsia="仿宋_GB2312" w:cs="Times New Roman"/>
          <w:b/>
          <w:bCs/>
          <w:kern w:val="0"/>
          <w:sz w:val="32"/>
          <w:szCs w:val="32"/>
          <w:lang w:val="en-US" w:eastAsia="zh-CN" w:bidi="ar"/>
        </w:rPr>
        <w:t>因地制宜，科学谋划</w:t>
      </w:r>
      <w:bookmarkEnd w:id="86"/>
      <w:bookmarkEnd w:id="87"/>
      <w:bookmarkEnd w:id="88"/>
      <w:bookmarkEnd w:id="89"/>
      <w:bookmarkEnd w:id="90"/>
      <w:bookmarkEnd w:id="91"/>
      <w:bookmarkEnd w:id="92"/>
      <w:bookmarkEnd w:id="93"/>
      <w:bookmarkEnd w:id="94"/>
      <w:r>
        <w:rPr>
          <w:rFonts w:hint="default" w:ascii="Times New Roman" w:hAnsi="Times New Roman" w:eastAsia="仿宋_GB2312" w:cs="Times New Roman"/>
          <w:b/>
          <w:bCs/>
          <w:kern w:val="0"/>
          <w:sz w:val="32"/>
          <w:szCs w:val="32"/>
          <w:lang w:val="en-US" w:eastAsia="zh-CN" w:bidi="ar"/>
        </w:rPr>
        <w:t>。</w:t>
      </w:r>
      <w:r>
        <w:rPr>
          <w:rFonts w:hint="default" w:ascii="Times New Roman" w:hAnsi="Times New Roman" w:eastAsia="仿宋_GB2312" w:cs="Times New Roman"/>
          <w:b w:val="0"/>
          <w:bCs w:val="0"/>
          <w:sz w:val="32"/>
          <w:szCs w:val="32"/>
          <w:lang w:val="en-US" w:eastAsia="zh-CN"/>
        </w:rPr>
        <w:t>根据《三亚市再生资源回收管理实施细则》《再生资源回收利用体系回收站点建设规范》（GB/T45732-2025）相关规定，结合天涯区行业发展现状，对再生回收体系进行整体设计；结合城市发展规划、各村（社区）人口分布特点、科学、合理规划设置回收网点。</w:t>
      </w:r>
      <w:bookmarkEnd w:id="95"/>
    </w:p>
    <w:p>
      <w:pPr>
        <w:pStyle w:val="6"/>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both"/>
        <w:textAlignment w:val="auto"/>
        <w:outlineLvl w:val="3"/>
        <w:rPr>
          <w:rFonts w:hint="default" w:ascii="Times New Roman" w:hAnsi="Times New Roman" w:eastAsia="仿宋_GB2312" w:cs="Times New Roman"/>
          <w:sz w:val="32"/>
          <w:szCs w:val="32"/>
          <w:lang w:val="en-US" w:eastAsia="zh-CN"/>
        </w:rPr>
      </w:pPr>
      <w:bookmarkStart w:id="96" w:name="_Toc3646"/>
      <w:bookmarkStart w:id="97" w:name="_Toc27297"/>
      <w:bookmarkStart w:id="98" w:name="_Toc8687"/>
      <w:bookmarkStart w:id="99" w:name="_Toc31749"/>
      <w:bookmarkStart w:id="100" w:name="_Toc32414"/>
      <w:bookmarkStart w:id="101" w:name="_Toc5945"/>
      <w:bookmarkStart w:id="102" w:name="_Toc31869"/>
      <w:bookmarkStart w:id="103" w:name="_Toc11456"/>
      <w:bookmarkStart w:id="104" w:name="_Toc32704"/>
      <w:bookmarkStart w:id="105" w:name="_Toc5115"/>
      <w:r>
        <w:rPr>
          <w:rFonts w:hint="default" w:ascii="Times New Roman" w:hAnsi="Times New Roman" w:eastAsia="仿宋_GB2312" w:cs="Times New Roman"/>
          <w:b/>
          <w:bCs/>
          <w:kern w:val="0"/>
          <w:sz w:val="32"/>
          <w:szCs w:val="32"/>
          <w:lang w:val="en-US" w:eastAsia="zh-CN" w:bidi="ar"/>
        </w:rPr>
        <w:t>突出重点，统筹兼顾</w:t>
      </w:r>
      <w:bookmarkEnd w:id="96"/>
      <w:bookmarkEnd w:id="97"/>
      <w:bookmarkEnd w:id="98"/>
      <w:bookmarkEnd w:id="99"/>
      <w:bookmarkEnd w:id="100"/>
      <w:bookmarkEnd w:id="101"/>
      <w:bookmarkEnd w:id="102"/>
      <w:bookmarkEnd w:id="103"/>
      <w:bookmarkEnd w:id="104"/>
      <w:r>
        <w:rPr>
          <w:rFonts w:hint="eastAsia" w:ascii="Times New Roman" w:hAnsi="Times New Roman" w:eastAsia="仿宋_GB2312" w:cs="Times New Roman"/>
          <w:b/>
          <w:bCs/>
          <w:kern w:val="0"/>
          <w:sz w:val="32"/>
          <w:szCs w:val="32"/>
          <w:lang w:val="en-US" w:eastAsia="zh-CN" w:bidi="ar"/>
        </w:rPr>
        <w:t>。</w:t>
      </w:r>
      <w:r>
        <w:rPr>
          <w:rFonts w:hint="default" w:ascii="Times New Roman" w:hAnsi="Times New Roman" w:eastAsia="仿宋_GB2312" w:cs="Times New Roman"/>
          <w:b w:val="0"/>
          <w:bCs w:val="0"/>
          <w:sz w:val="32"/>
          <w:szCs w:val="32"/>
          <w:lang w:val="en-US" w:eastAsia="zh-CN"/>
        </w:rPr>
        <w:t>以再生资源回收、综合利用为重点，着眼再生资源回收全过程和全产业链管理。从产废源头入手，建立健全回收渠道，逐步实现应收尽收；鼓励提高分拣加工技术水平，实现多技术融合，实现技术创新重构再生资源体系。</w:t>
      </w:r>
      <w:bookmarkEnd w:id="105"/>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outlineLvl w:val="3"/>
        <w:rPr>
          <w:rFonts w:hint="default" w:ascii="Times New Roman" w:hAnsi="Times New Roman" w:eastAsia="仿宋_GB2312" w:cs="Times New Roman"/>
          <w:b w:val="0"/>
          <w:bCs w:val="0"/>
          <w:sz w:val="32"/>
          <w:szCs w:val="32"/>
          <w:lang w:val="en-US" w:eastAsia="zh-CN"/>
        </w:rPr>
      </w:pPr>
      <w:bookmarkStart w:id="106" w:name="_Toc15028"/>
      <w:bookmarkStart w:id="107" w:name="_Toc12771"/>
      <w:bookmarkStart w:id="108" w:name="_Toc998"/>
      <w:bookmarkStart w:id="109" w:name="_Toc10715"/>
      <w:bookmarkStart w:id="110" w:name="_Toc20527"/>
      <w:bookmarkStart w:id="111" w:name="_Toc23202"/>
      <w:bookmarkStart w:id="112" w:name="_Toc24880"/>
      <w:bookmarkStart w:id="113" w:name="_Toc30337"/>
      <w:bookmarkStart w:id="114" w:name="_Toc5324"/>
      <w:bookmarkStart w:id="115" w:name="_Toc18627"/>
      <w:r>
        <w:rPr>
          <w:rFonts w:hint="default" w:ascii="Times New Roman" w:hAnsi="Times New Roman" w:eastAsia="仿宋_GB2312" w:cs="Times New Roman"/>
          <w:b/>
          <w:bCs/>
          <w:kern w:val="0"/>
          <w:sz w:val="32"/>
          <w:szCs w:val="32"/>
          <w:lang w:val="en-US" w:eastAsia="zh-CN" w:bidi="ar"/>
        </w:rPr>
        <w:t>分步实施，平稳过渡</w:t>
      </w:r>
      <w:bookmarkEnd w:id="106"/>
      <w:bookmarkEnd w:id="107"/>
      <w:bookmarkEnd w:id="108"/>
      <w:bookmarkEnd w:id="109"/>
      <w:bookmarkEnd w:id="110"/>
      <w:bookmarkEnd w:id="111"/>
      <w:bookmarkEnd w:id="112"/>
      <w:bookmarkEnd w:id="113"/>
      <w:bookmarkEnd w:id="114"/>
      <w:r>
        <w:rPr>
          <w:rFonts w:hint="eastAsia" w:ascii="Times New Roman" w:hAnsi="Times New Roman" w:eastAsia="仿宋_GB2312" w:cs="Times New Roman"/>
          <w:b/>
          <w:bCs/>
          <w:kern w:val="0"/>
          <w:sz w:val="32"/>
          <w:szCs w:val="32"/>
          <w:lang w:val="en-US" w:eastAsia="zh-CN" w:bidi="ar"/>
        </w:rPr>
        <w:t>。</w:t>
      </w:r>
      <w:r>
        <w:rPr>
          <w:rFonts w:hint="default" w:ascii="Times New Roman" w:hAnsi="Times New Roman" w:eastAsia="仿宋_GB2312" w:cs="Times New Roman"/>
          <w:b w:val="0"/>
          <w:bCs w:val="0"/>
          <w:sz w:val="32"/>
          <w:szCs w:val="32"/>
          <w:lang w:val="en-US" w:eastAsia="zh-CN"/>
        </w:rPr>
        <w:t>按照先易后难、分步实施工作思路，分步规范整顿，既要尊重历史现实，又要考虑产业发展和环境质量要求，平稳有序推进，逐步过渡和提升，以保证天涯区再生资源回收业务的正常运转。</w:t>
      </w:r>
      <w:bookmarkEnd w:id="115"/>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outlineLvl w:val="3"/>
        <w:rPr>
          <w:rFonts w:hint="default" w:ascii="Times New Roman" w:hAnsi="Times New Roman" w:eastAsia="仿宋_GB2312" w:cs="Times New Roman"/>
          <w:b w:val="0"/>
          <w:bCs w:val="0"/>
          <w:sz w:val="32"/>
          <w:szCs w:val="32"/>
          <w:lang w:val="en-US" w:eastAsia="zh-CN"/>
        </w:rPr>
      </w:pPr>
      <w:bookmarkStart w:id="116" w:name="_Toc29667"/>
      <w:bookmarkStart w:id="117" w:name="_Toc572"/>
      <w:bookmarkStart w:id="118" w:name="_Toc15952"/>
      <w:bookmarkStart w:id="119" w:name="_Toc13470"/>
      <w:bookmarkStart w:id="120" w:name="_Toc1403"/>
      <w:bookmarkStart w:id="121" w:name="_Toc27522"/>
      <w:bookmarkStart w:id="122" w:name="_Toc26635"/>
      <w:bookmarkStart w:id="123" w:name="_Toc21388"/>
      <w:bookmarkStart w:id="124" w:name="_Toc19431"/>
      <w:bookmarkStart w:id="125" w:name="_Toc9619"/>
      <w:r>
        <w:rPr>
          <w:rFonts w:hint="default" w:ascii="Times New Roman" w:hAnsi="Times New Roman" w:eastAsia="仿宋_GB2312" w:cs="Times New Roman"/>
          <w:b/>
          <w:bCs/>
          <w:kern w:val="0"/>
          <w:sz w:val="32"/>
          <w:szCs w:val="32"/>
          <w:lang w:val="en-US" w:eastAsia="zh-CN" w:bidi="ar"/>
        </w:rPr>
        <w:t>严格监管，良性发展</w:t>
      </w:r>
      <w:bookmarkEnd w:id="116"/>
      <w:bookmarkEnd w:id="117"/>
      <w:bookmarkEnd w:id="118"/>
      <w:bookmarkEnd w:id="119"/>
      <w:bookmarkEnd w:id="120"/>
      <w:bookmarkEnd w:id="121"/>
      <w:bookmarkEnd w:id="122"/>
      <w:bookmarkEnd w:id="123"/>
      <w:bookmarkEnd w:id="124"/>
      <w:r>
        <w:rPr>
          <w:rFonts w:hint="eastAsia" w:ascii="Times New Roman" w:hAnsi="Times New Roman" w:eastAsia="仿宋_GB2312" w:cs="Times New Roman"/>
          <w:b/>
          <w:bCs/>
          <w:kern w:val="0"/>
          <w:sz w:val="32"/>
          <w:szCs w:val="32"/>
          <w:lang w:val="en-US" w:eastAsia="zh-CN" w:bidi="ar"/>
        </w:rPr>
        <w:t>。</w:t>
      </w:r>
      <w:r>
        <w:rPr>
          <w:rFonts w:hint="default" w:ascii="Times New Roman" w:hAnsi="Times New Roman" w:eastAsia="仿宋_GB2312" w:cs="Times New Roman"/>
          <w:b w:val="0"/>
          <w:bCs w:val="0"/>
          <w:sz w:val="32"/>
          <w:szCs w:val="32"/>
          <w:lang w:val="en-US" w:eastAsia="zh-CN"/>
        </w:rPr>
        <w:t>明确相关部门、街道的职责分工，完善联合管理机制，创新信息化管理手段，健全行业综合治理长效工作机制。培育一批示范引领性回收企业，向社会推广，引导行业良性发展。</w:t>
      </w:r>
      <w:bookmarkEnd w:id="125"/>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eastAsia" w:ascii="楷体" w:hAnsi="楷体" w:eastAsia="楷体" w:cs="楷体"/>
          <w:b/>
          <w:bCs/>
          <w:color w:val="auto"/>
          <w:highlight w:val="none"/>
          <w:lang w:val="en-US" w:eastAsia="zh-CN"/>
        </w:rPr>
      </w:pPr>
      <w:bookmarkStart w:id="126" w:name="_Toc15700"/>
      <w:r>
        <w:rPr>
          <w:rFonts w:hint="eastAsia" w:ascii="楷体" w:hAnsi="楷体" w:eastAsia="楷体" w:cs="楷体"/>
          <w:b/>
          <w:bCs/>
          <w:color w:val="auto"/>
          <w:highlight w:val="none"/>
          <w:lang w:val="en-US" w:eastAsia="zh-CN"/>
        </w:rPr>
        <w:t>第六节 布局原则</w:t>
      </w:r>
      <w:bookmarkEnd w:id="126"/>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outlineLvl w:val="3"/>
        <w:rPr>
          <w:rFonts w:hint="default" w:ascii="Times New Roman" w:hAnsi="Times New Roman" w:eastAsia="仿宋_GB2312" w:cs="Times New Roman"/>
          <w:b w:val="0"/>
          <w:bCs w:val="0"/>
          <w:sz w:val="32"/>
          <w:szCs w:val="32"/>
          <w:lang w:val="en-US" w:eastAsia="zh-CN"/>
        </w:rPr>
      </w:pPr>
      <w:bookmarkStart w:id="127" w:name="_Toc10326"/>
      <w:bookmarkStart w:id="128" w:name="_Toc23957"/>
      <w:r>
        <w:rPr>
          <w:rFonts w:hint="default" w:ascii="Times New Roman" w:hAnsi="Times New Roman" w:eastAsia="仿宋_GB2312" w:cs="Times New Roman"/>
          <w:b/>
          <w:bCs/>
          <w:kern w:val="0"/>
          <w:sz w:val="32"/>
          <w:szCs w:val="32"/>
          <w:lang w:val="en-US" w:eastAsia="zh-CN" w:bidi="ar"/>
        </w:rPr>
        <w:t>合规底线原则</w:t>
      </w:r>
      <w:bookmarkEnd w:id="127"/>
      <w:r>
        <w:rPr>
          <w:rFonts w:hint="eastAsia" w:ascii="Times New Roman" w:hAnsi="Times New Roman" w:eastAsia="仿宋_GB2312" w:cs="Times New Roman"/>
          <w:b/>
          <w:bCs/>
          <w:kern w:val="0"/>
          <w:sz w:val="32"/>
          <w:szCs w:val="32"/>
          <w:lang w:val="en-US" w:eastAsia="zh-CN" w:bidi="ar"/>
        </w:rPr>
        <w:t>。</w:t>
      </w:r>
      <w:r>
        <w:rPr>
          <w:rFonts w:hint="default" w:ascii="Times New Roman" w:hAnsi="Times New Roman" w:eastAsia="仿宋_GB2312" w:cs="Times New Roman"/>
          <w:b w:val="0"/>
          <w:bCs w:val="0"/>
          <w:sz w:val="32"/>
          <w:szCs w:val="32"/>
          <w:lang w:val="en-US" w:eastAsia="zh-CN"/>
        </w:rPr>
        <w:t>规划布局严格依据《三亚市再生资源回收管理实施细则》（三商规〔2022〕207号）、国土空间规划、生态环保与市容管理法规划定选址管控红线，回收点位及中转站不得在铁路、机场、水源地、军事禁区等重点管控区域300米范围内布设，禁止在城市主次干道、环岛旅游公路临街占道设点，并避让机关、校园、医院、河湖岸线、滨海沿线等敏感区域；区级综合分拣中心禁止选址于生态保护与水源管控区域，且需与居民区边界保持不少于1000米安全距离。所有经营主体落实事前备案、废旧金属溯源台账、场地防渗硬化、消防密闭仓储等硬性管理要求。严格执行废弃电器电子产品拆解资质准入制度，依据《废弃电器电子产品回收处理管理条例》，未取得生态环境部门核发的废弃电器电子产品处理专项资质的任何经营主体，仅可开展废旧家电归集、规范暂存与定向转运，严禁私自拆解、抽排冷媒、拆解电路板及危险零部件，回收的废旧电器电子产品必须统一移交具备法定处置资质的企业进行末端处理，全面筑牢生态、消防、治安、市容环境合规底线。</w:t>
      </w:r>
      <w:bookmarkEnd w:id="128"/>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both"/>
        <w:textAlignment w:val="auto"/>
        <w:outlineLvl w:val="3"/>
        <w:rPr>
          <w:rFonts w:hint="default" w:ascii="Times New Roman" w:hAnsi="Times New Roman" w:eastAsia="仿宋_GB2312" w:cs="Times New Roman"/>
          <w:b w:val="0"/>
          <w:bCs w:val="0"/>
          <w:sz w:val="32"/>
          <w:szCs w:val="32"/>
          <w:lang w:val="en-US" w:eastAsia="zh-CN"/>
        </w:rPr>
      </w:pPr>
      <w:bookmarkStart w:id="129" w:name="_Toc22774"/>
      <w:bookmarkStart w:id="130" w:name="_Toc28087"/>
      <w:r>
        <w:rPr>
          <w:rFonts w:hint="default" w:ascii="Times New Roman" w:hAnsi="Times New Roman" w:eastAsia="仿宋_GB2312" w:cs="Times New Roman"/>
          <w:b/>
          <w:bCs/>
          <w:kern w:val="0"/>
          <w:sz w:val="32"/>
          <w:szCs w:val="32"/>
          <w:lang w:val="en-US" w:eastAsia="zh-CN" w:bidi="ar"/>
        </w:rPr>
        <w:t>全域均衡、疏密适配布局原则</w:t>
      </w:r>
      <w:bookmarkEnd w:id="129"/>
      <w:r>
        <w:rPr>
          <w:rFonts w:hint="eastAsia" w:ascii="Times New Roman" w:hAnsi="Times New Roman" w:eastAsia="仿宋_GB2312" w:cs="Times New Roman"/>
          <w:b/>
          <w:bCs/>
          <w:kern w:val="0"/>
          <w:sz w:val="32"/>
          <w:szCs w:val="32"/>
          <w:lang w:val="en-US" w:eastAsia="zh-CN" w:bidi="ar"/>
        </w:rPr>
        <w:t>。</w:t>
      </w:r>
      <w:r>
        <w:rPr>
          <w:rFonts w:hint="default" w:ascii="Times New Roman" w:hAnsi="Times New Roman" w:eastAsia="仿宋_GB2312" w:cs="Times New Roman"/>
          <w:b w:val="0"/>
          <w:bCs w:val="0"/>
          <w:sz w:val="32"/>
          <w:szCs w:val="32"/>
          <w:lang w:val="en-US" w:eastAsia="zh-CN"/>
        </w:rPr>
        <w:t>统筹城区、乡村、山区、海岛、渔港多元空间，对中心城区过度扎堆站点整合减量，补齐偏远乡村、西岛海岛等回收空白区域，按照规划服务半径与户数标准布点，实现46个村（社区）服务全覆盖，杜绝局部扎堆竞争与服务缺位两极问题。</w:t>
      </w:r>
      <w:bookmarkEnd w:id="130"/>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outlineLvl w:val="3"/>
        <w:rPr>
          <w:rFonts w:hint="default" w:ascii="Times New Roman" w:hAnsi="Times New Roman" w:eastAsia="仿宋_GB2312" w:cs="Times New Roman"/>
          <w:b w:val="0"/>
          <w:bCs w:val="0"/>
          <w:sz w:val="32"/>
          <w:szCs w:val="32"/>
          <w:lang w:val="en-US" w:eastAsia="zh-CN"/>
        </w:rPr>
      </w:pPr>
      <w:bookmarkStart w:id="131" w:name="_Toc24204"/>
      <w:bookmarkStart w:id="132" w:name="_Toc13391"/>
      <w:r>
        <w:rPr>
          <w:rFonts w:hint="default" w:ascii="Times New Roman" w:hAnsi="Times New Roman" w:eastAsia="仿宋_GB2312" w:cs="Times New Roman"/>
          <w:b/>
          <w:bCs/>
          <w:kern w:val="0"/>
          <w:sz w:val="32"/>
          <w:szCs w:val="32"/>
          <w:lang w:val="en-US" w:eastAsia="zh-CN" w:bidi="ar"/>
        </w:rPr>
        <w:t>两网融合、便民利民原则</w:t>
      </w:r>
      <w:bookmarkEnd w:id="131"/>
      <w:r>
        <w:rPr>
          <w:rFonts w:hint="eastAsia" w:ascii="Times New Roman" w:hAnsi="Times New Roman" w:eastAsia="仿宋_GB2312" w:cs="Times New Roman"/>
          <w:b/>
          <w:bCs/>
          <w:kern w:val="0"/>
          <w:sz w:val="32"/>
          <w:szCs w:val="32"/>
          <w:lang w:val="en-US" w:eastAsia="zh-CN" w:bidi="ar"/>
        </w:rPr>
        <w:t>。</w:t>
      </w:r>
      <w:r>
        <w:rPr>
          <w:rFonts w:hint="default" w:ascii="Times New Roman" w:hAnsi="Times New Roman" w:eastAsia="仿宋_GB2312" w:cs="Times New Roman"/>
          <w:b w:val="0"/>
          <w:bCs w:val="0"/>
          <w:sz w:val="32"/>
          <w:szCs w:val="32"/>
          <w:lang w:val="en-US" w:eastAsia="zh-CN"/>
        </w:rPr>
        <w:t>推动再生资源回收交投点与生活垃圾分类投放点共建共享、场地共用、收运协同，就近布设末端回收点位，兼顾居民日常交投便捷性；区分城乡设定差异化收运频次，做到应收尽收、日产日清，降低群众交投成本。</w:t>
      </w:r>
      <w:bookmarkEnd w:id="132"/>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outlineLvl w:val="3"/>
        <w:rPr>
          <w:rFonts w:hint="default" w:ascii="Times New Roman" w:hAnsi="Times New Roman" w:eastAsia="仿宋_GB2312" w:cs="Times New Roman"/>
          <w:b w:val="0"/>
          <w:bCs w:val="0"/>
          <w:sz w:val="32"/>
          <w:szCs w:val="32"/>
          <w:lang w:val="en-US" w:eastAsia="zh-CN"/>
        </w:rPr>
      </w:pPr>
      <w:bookmarkStart w:id="133" w:name="_Toc12379"/>
      <w:bookmarkStart w:id="134" w:name="_Toc24194"/>
      <w:r>
        <w:rPr>
          <w:rFonts w:hint="default" w:ascii="Times New Roman" w:hAnsi="Times New Roman" w:eastAsia="仿宋_GB2312" w:cs="Times New Roman"/>
          <w:b/>
          <w:bCs/>
          <w:kern w:val="0"/>
          <w:sz w:val="32"/>
          <w:szCs w:val="32"/>
          <w:lang w:val="en-US" w:eastAsia="zh-CN" w:bidi="ar"/>
        </w:rPr>
        <w:t>分级组网、闭环链条原则</w:t>
      </w:r>
      <w:bookmarkEnd w:id="133"/>
      <w:r>
        <w:rPr>
          <w:rFonts w:hint="eastAsia" w:ascii="Times New Roman" w:hAnsi="Times New Roman" w:eastAsia="仿宋_GB2312" w:cs="Times New Roman"/>
          <w:b/>
          <w:bCs/>
          <w:kern w:val="0"/>
          <w:sz w:val="32"/>
          <w:szCs w:val="32"/>
          <w:lang w:val="en-US" w:eastAsia="zh-CN" w:bidi="ar"/>
        </w:rPr>
        <w:t>。</w:t>
      </w:r>
      <w:r>
        <w:rPr>
          <w:rFonts w:hint="default" w:ascii="Times New Roman" w:hAnsi="Times New Roman" w:eastAsia="仿宋_GB2312" w:cs="Times New Roman"/>
          <w:b w:val="0"/>
          <w:bCs w:val="0"/>
          <w:sz w:val="32"/>
          <w:szCs w:val="32"/>
          <w:lang w:val="en-US" w:eastAsia="zh-CN"/>
        </w:rPr>
        <w:t>构建社区末端交投点—片区中转站—区级综合分拣中心三级网络架构，前端归集、中端集中分拣转运、末端对接资源化利用企业，补齐区级分拣处置产能缺口，打通“回收—分拣—转运—处置”全链条闭环。</w:t>
      </w:r>
      <w:bookmarkEnd w:id="134"/>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outlineLvl w:val="3"/>
        <w:rPr>
          <w:rFonts w:hint="default" w:ascii="Times New Roman" w:hAnsi="Times New Roman" w:eastAsia="仿宋_GB2312" w:cs="Times New Roman"/>
          <w:b w:val="0"/>
          <w:bCs w:val="0"/>
          <w:sz w:val="32"/>
          <w:szCs w:val="32"/>
          <w:lang w:val="en-US" w:eastAsia="zh-CN"/>
        </w:rPr>
      </w:pPr>
      <w:bookmarkStart w:id="135" w:name="_Toc22638"/>
      <w:bookmarkStart w:id="136" w:name="_Toc32037"/>
      <w:r>
        <w:rPr>
          <w:rFonts w:hint="default" w:ascii="Times New Roman" w:hAnsi="Times New Roman" w:eastAsia="仿宋_GB2312" w:cs="Times New Roman"/>
          <w:b/>
          <w:bCs/>
          <w:kern w:val="0"/>
          <w:sz w:val="32"/>
          <w:szCs w:val="32"/>
          <w:lang w:val="en-US" w:eastAsia="zh-CN" w:bidi="ar"/>
        </w:rPr>
        <w:t>集约整合、龙头引领原则</w:t>
      </w:r>
      <w:bookmarkEnd w:id="135"/>
      <w:r>
        <w:rPr>
          <w:rFonts w:hint="eastAsia" w:ascii="Times New Roman" w:hAnsi="Times New Roman" w:eastAsia="仿宋_GB2312" w:cs="Times New Roman"/>
          <w:b/>
          <w:bCs/>
          <w:kern w:val="0"/>
          <w:sz w:val="32"/>
          <w:szCs w:val="32"/>
          <w:lang w:val="en-US" w:eastAsia="zh-CN" w:bidi="ar"/>
        </w:rPr>
        <w:t>。</w:t>
      </w:r>
      <w:r>
        <w:rPr>
          <w:rFonts w:hint="default" w:ascii="Times New Roman" w:hAnsi="Times New Roman" w:eastAsia="仿宋_GB2312" w:cs="Times New Roman"/>
          <w:b w:val="0"/>
          <w:bCs w:val="0"/>
          <w:sz w:val="32"/>
          <w:szCs w:val="32"/>
          <w:lang w:val="en-US" w:eastAsia="zh-CN"/>
        </w:rPr>
        <w:t>淘汰小散乱零散无证点位，培育一体化龙头企业推行连锁化统一运营，统一标识、标准、台账、收运队伍，整合个体经营户纳入规范化体系，提升行业集中度与规模化水平，重点补齐低值可回收物兜底回收能力。</w:t>
      </w:r>
      <w:bookmarkEnd w:id="136"/>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outlineLvl w:val="3"/>
        <w:rPr>
          <w:rFonts w:hint="default" w:ascii="Times New Roman" w:hAnsi="Times New Roman" w:eastAsia="仿宋_GB2312" w:cs="Times New Roman"/>
          <w:b w:val="0"/>
          <w:bCs w:val="0"/>
          <w:sz w:val="32"/>
          <w:szCs w:val="32"/>
          <w:lang w:val="en-US" w:eastAsia="zh-CN"/>
        </w:rPr>
      </w:pPr>
      <w:bookmarkStart w:id="137" w:name="_Toc30752"/>
      <w:bookmarkStart w:id="138" w:name="_Toc17401"/>
      <w:r>
        <w:rPr>
          <w:rFonts w:hint="default" w:ascii="Times New Roman" w:hAnsi="Times New Roman" w:eastAsia="仿宋_GB2312" w:cs="Times New Roman"/>
          <w:b/>
          <w:bCs/>
          <w:kern w:val="0"/>
          <w:sz w:val="32"/>
          <w:szCs w:val="32"/>
          <w:lang w:val="en-US" w:eastAsia="zh-CN" w:bidi="ar"/>
        </w:rPr>
        <w:t>标准提质、绿色低碳原则</w:t>
      </w:r>
      <w:bookmarkEnd w:id="137"/>
      <w:r>
        <w:rPr>
          <w:rFonts w:hint="eastAsia" w:ascii="Times New Roman" w:hAnsi="Times New Roman" w:eastAsia="仿宋_GB2312" w:cs="Times New Roman"/>
          <w:b/>
          <w:bCs/>
          <w:kern w:val="0"/>
          <w:sz w:val="32"/>
          <w:szCs w:val="32"/>
          <w:lang w:val="en-US" w:eastAsia="zh-CN" w:bidi="ar"/>
        </w:rPr>
        <w:t>。</w:t>
      </w:r>
      <w:r>
        <w:rPr>
          <w:rFonts w:hint="default" w:ascii="Times New Roman" w:hAnsi="Times New Roman" w:eastAsia="仿宋_GB2312" w:cs="Times New Roman"/>
          <w:b w:val="0"/>
          <w:bCs w:val="0"/>
          <w:sz w:val="32"/>
          <w:szCs w:val="32"/>
          <w:lang w:val="en-US" w:eastAsia="zh-CN"/>
        </w:rPr>
        <w:t>所有现状站点及新建点位执行标准化建设规范，落实场地硬化、防渗防漏、密闭围挡、分类堆放、降噪抑尘等环保改造；优先配置新能源密闭收运车辆，减少运输抛洒二次污染，推动行业绿色低碳转型。</w:t>
      </w:r>
      <w:bookmarkEnd w:id="138"/>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outlineLvl w:val="3"/>
        <w:rPr>
          <w:rFonts w:hint="default" w:ascii="Times New Roman" w:hAnsi="Times New Roman" w:eastAsia="仿宋_GB2312" w:cs="Times New Roman"/>
          <w:b w:val="0"/>
          <w:bCs w:val="0"/>
          <w:sz w:val="32"/>
          <w:szCs w:val="32"/>
          <w:lang w:val="en-US" w:eastAsia="zh-CN"/>
        </w:rPr>
      </w:pPr>
      <w:bookmarkStart w:id="139" w:name="_Toc16375"/>
      <w:bookmarkStart w:id="140" w:name="_Toc22519"/>
      <w:r>
        <w:rPr>
          <w:rFonts w:hint="default" w:ascii="Times New Roman" w:hAnsi="Times New Roman" w:eastAsia="仿宋_GB2312" w:cs="Times New Roman"/>
          <w:b/>
          <w:bCs/>
          <w:kern w:val="0"/>
          <w:sz w:val="32"/>
          <w:szCs w:val="32"/>
          <w:lang w:val="en-US" w:eastAsia="zh-CN" w:bidi="ar"/>
        </w:rPr>
        <w:t>数字赋能、全程溯源原则</w:t>
      </w:r>
      <w:bookmarkEnd w:id="139"/>
      <w:r>
        <w:rPr>
          <w:rFonts w:hint="eastAsia" w:ascii="Times New Roman" w:hAnsi="Times New Roman" w:eastAsia="仿宋_GB2312" w:cs="Times New Roman"/>
          <w:b/>
          <w:bCs/>
          <w:kern w:val="0"/>
          <w:sz w:val="32"/>
          <w:szCs w:val="32"/>
          <w:lang w:val="en-US" w:eastAsia="zh-CN" w:bidi="ar"/>
        </w:rPr>
        <w:t>。</w:t>
      </w:r>
      <w:r>
        <w:rPr>
          <w:rFonts w:hint="default" w:ascii="Times New Roman" w:hAnsi="Times New Roman" w:eastAsia="仿宋_GB2312" w:cs="Times New Roman"/>
          <w:b w:val="0"/>
          <w:bCs w:val="0"/>
          <w:sz w:val="32"/>
          <w:szCs w:val="32"/>
          <w:lang w:val="en-US" w:eastAsia="zh-CN"/>
        </w:rPr>
        <w:t>接入区级智慧监管平台，依托电子台账、点位监控、收运调度系统，实现回收品类、来源、流向全流程可查可溯，强化废旧金属登记、经营备案数字化管理，提升精细化监管效能。</w:t>
      </w:r>
      <w:bookmarkEnd w:id="140"/>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outlineLvl w:val="3"/>
        <w:rPr>
          <w:rFonts w:hint="default" w:ascii="Times New Roman" w:hAnsi="Times New Roman" w:eastAsia="仿宋_GB2312" w:cs="Times New Roman"/>
          <w:b w:val="0"/>
          <w:bCs w:val="0"/>
          <w:sz w:val="32"/>
          <w:szCs w:val="32"/>
          <w:lang w:val="en-US" w:eastAsia="zh-CN"/>
        </w:rPr>
      </w:pPr>
      <w:bookmarkStart w:id="141" w:name="_Toc26527"/>
      <w:bookmarkStart w:id="142" w:name="_Toc12411"/>
      <w:r>
        <w:rPr>
          <w:rFonts w:hint="default" w:ascii="Times New Roman" w:hAnsi="Times New Roman" w:eastAsia="仿宋_GB2312" w:cs="Times New Roman"/>
          <w:b/>
          <w:bCs/>
          <w:kern w:val="0"/>
          <w:sz w:val="32"/>
          <w:szCs w:val="32"/>
          <w:lang w:val="en-US" w:eastAsia="zh-CN" w:bidi="ar"/>
        </w:rPr>
        <w:t>属地联动、长效管控原则</w:t>
      </w:r>
      <w:bookmarkEnd w:id="141"/>
      <w:r>
        <w:rPr>
          <w:rFonts w:hint="eastAsia" w:ascii="Times New Roman" w:hAnsi="Times New Roman" w:eastAsia="仿宋_GB2312" w:cs="Times New Roman"/>
          <w:b/>
          <w:bCs/>
          <w:kern w:val="0"/>
          <w:sz w:val="32"/>
          <w:szCs w:val="32"/>
          <w:lang w:val="en-US" w:eastAsia="zh-CN" w:bidi="ar"/>
        </w:rPr>
        <w:t>。</w:t>
      </w:r>
      <w:r>
        <w:rPr>
          <w:rFonts w:hint="default" w:ascii="Times New Roman" w:hAnsi="Times New Roman" w:eastAsia="仿宋_GB2312" w:cs="Times New Roman"/>
          <w:b w:val="0"/>
          <w:bCs w:val="0"/>
          <w:sz w:val="32"/>
          <w:szCs w:val="32"/>
          <w:lang w:val="en-US" w:eastAsia="zh-CN"/>
        </w:rPr>
        <w:t>建立区级统筹、多部门联合执法、街道村居属地巡查、社会公众监督的多元治理机制，纳入绩效考核与动态考核退出机制，常态化整治整改、严防问题反弹，形成可长期稳定运行的监管与运维体系。</w:t>
      </w:r>
      <w:bookmarkEnd w:id="142"/>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outlineLvl w:val="3"/>
        <w:rPr>
          <w:rFonts w:hint="default" w:ascii="Times New Roman" w:hAnsi="Times New Roman" w:eastAsia="仿宋_GB2312" w:cs="Times New Roman"/>
          <w:b w:val="0"/>
          <w:bCs w:val="0"/>
          <w:sz w:val="32"/>
          <w:szCs w:val="32"/>
          <w:lang w:val="en-US" w:eastAsia="zh-CN"/>
        </w:rPr>
      </w:pPr>
      <w:bookmarkStart w:id="143" w:name="_Toc22356"/>
      <w:bookmarkStart w:id="144" w:name="_Toc16288"/>
      <w:r>
        <w:rPr>
          <w:rFonts w:hint="default" w:ascii="Times New Roman" w:hAnsi="Times New Roman" w:eastAsia="仿宋_GB2312" w:cs="Times New Roman"/>
          <w:b/>
          <w:bCs/>
          <w:kern w:val="0"/>
          <w:sz w:val="32"/>
          <w:szCs w:val="32"/>
          <w:lang w:val="en-US" w:eastAsia="zh-CN" w:bidi="ar"/>
        </w:rPr>
        <w:t>因地制宜、特色适配原则</w:t>
      </w:r>
      <w:bookmarkEnd w:id="143"/>
      <w:r>
        <w:rPr>
          <w:rFonts w:hint="eastAsia" w:ascii="Times New Roman" w:hAnsi="Times New Roman" w:eastAsia="仿宋_GB2312" w:cs="Times New Roman"/>
          <w:b/>
          <w:bCs/>
          <w:kern w:val="0"/>
          <w:sz w:val="32"/>
          <w:szCs w:val="32"/>
          <w:lang w:val="en-US" w:eastAsia="zh-CN" w:bidi="ar"/>
        </w:rPr>
        <w:t>。</w:t>
      </w:r>
      <w:r>
        <w:rPr>
          <w:rFonts w:hint="default" w:ascii="Times New Roman" w:hAnsi="Times New Roman" w:eastAsia="仿宋_GB2312" w:cs="Times New Roman"/>
          <w:b w:val="0"/>
          <w:bCs w:val="0"/>
          <w:sz w:val="32"/>
          <w:szCs w:val="32"/>
          <w:lang w:val="en-US" w:eastAsia="zh-CN"/>
        </w:rPr>
        <w:t>结合天涯区文旅景区、酒店民宿集群、渔港渔业、热带农业、建筑工程等产废特点，针对性设置旅游废弃物、渔业废旧渔具、农业包装物、建筑垃圾专项回收渠道，打造适配天涯区产业结构的特色回收模式。</w:t>
      </w:r>
      <w:bookmarkEnd w:id="144"/>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eastAsia" w:ascii="楷体" w:hAnsi="楷体" w:eastAsia="楷体" w:cs="楷体"/>
          <w:b/>
          <w:bCs/>
          <w:color w:val="auto"/>
          <w:highlight w:val="none"/>
          <w:lang w:val="en-US" w:eastAsia="zh-CN"/>
        </w:rPr>
      </w:pPr>
      <w:bookmarkStart w:id="145" w:name="_Toc1423"/>
      <w:r>
        <w:rPr>
          <w:rFonts w:hint="eastAsia" w:ascii="楷体" w:hAnsi="楷体" w:eastAsia="楷体" w:cs="楷体"/>
          <w:b/>
          <w:bCs/>
          <w:color w:val="auto"/>
          <w:highlight w:val="none"/>
          <w:lang w:val="en-US" w:eastAsia="zh-CN"/>
        </w:rPr>
        <w:t xml:space="preserve">第七节 </w:t>
      </w:r>
      <w:bookmarkStart w:id="146" w:name="_Toc21296"/>
      <w:r>
        <w:rPr>
          <w:rFonts w:hint="eastAsia" w:ascii="楷体" w:hAnsi="楷体" w:eastAsia="楷体" w:cs="楷体"/>
          <w:b/>
          <w:bCs/>
          <w:color w:val="auto"/>
          <w:highlight w:val="none"/>
          <w:lang w:val="en-US" w:eastAsia="zh-CN"/>
        </w:rPr>
        <w:t>发展目标</w:t>
      </w:r>
      <w:bookmarkEnd w:id="145"/>
      <w:bookmarkEnd w:id="146"/>
    </w:p>
    <w:p>
      <w:pPr>
        <w:pageBreakBefore w:val="0"/>
        <w:kinsoku/>
        <w:wordWrap/>
        <w:overflowPunct/>
        <w:topLinePunct w:val="0"/>
        <w:autoSpaceDE/>
        <w:autoSpaceDN/>
        <w:bidi w:val="0"/>
        <w:spacing w:line="560" w:lineRule="exact"/>
        <w:jc w:val="both"/>
        <w:textAlignment w:val="auto"/>
        <w:rPr>
          <w:rFonts w:hint="default" w:ascii="Times New Roman" w:hAnsi="Times New Roman" w:eastAsia="仿宋_GB2312" w:cs="Times New Roman"/>
          <w:sz w:val="32"/>
          <w:szCs w:val="32"/>
          <w:lang w:val="en-US" w:eastAsia="zh-CN"/>
        </w:rPr>
      </w:pPr>
      <w:r>
        <w:rPr>
          <w:rFonts w:hint="eastAsia" w:eastAsia="仿宋_GB2312" w:cs="Times New Roman"/>
          <w:sz w:val="32"/>
          <w:szCs w:val="32"/>
          <w:lang w:val="en-US" w:eastAsia="zh-CN"/>
        </w:rPr>
        <w:t>到2030年，</w:t>
      </w:r>
      <w:r>
        <w:rPr>
          <w:rFonts w:hint="default" w:ascii="Times New Roman" w:hAnsi="Times New Roman" w:eastAsia="仿宋_GB2312" w:cs="Times New Roman"/>
          <w:sz w:val="32"/>
          <w:szCs w:val="32"/>
          <w:lang w:val="en-US" w:eastAsia="zh-CN"/>
        </w:rPr>
        <w:t>按照“统筹规划、分步实施”的方针，基本建成布局合理、管理规范、回收效率高、与生活垃圾分类有效衔接的再生资源回收利用体系。全区规划设置固定交投点</w:t>
      </w:r>
      <w:r>
        <w:rPr>
          <w:rFonts w:hint="eastAsia" w:eastAsia="仿宋_GB2312" w:cs="Times New Roman"/>
          <w:sz w:val="32"/>
          <w:szCs w:val="32"/>
          <w:lang w:val="en-US" w:eastAsia="zh-CN"/>
        </w:rPr>
        <w:t>80</w:t>
      </w:r>
      <w:r>
        <w:rPr>
          <w:rFonts w:hint="default" w:ascii="Times New Roman" w:hAnsi="Times New Roman" w:eastAsia="仿宋_GB2312" w:cs="Times New Roman"/>
          <w:sz w:val="32"/>
          <w:szCs w:val="32"/>
          <w:lang w:val="en-US" w:eastAsia="zh-CN"/>
        </w:rPr>
        <w:t>个</w:t>
      </w:r>
      <w:r>
        <w:rPr>
          <w:rFonts w:hint="eastAsia" w:eastAsia="仿宋_GB2312" w:cs="Times New Roman"/>
          <w:sz w:val="32"/>
          <w:szCs w:val="32"/>
          <w:lang w:val="en-US" w:eastAsia="zh-CN"/>
        </w:rPr>
        <w:t>、中转站11个、1个区级绿色分拣中心</w:t>
      </w:r>
      <w:r>
        <w:rPr>
          <w:rFonts w:hint="default" w:ascii="Times New Roman" w:hAnsi="Times New Roman" w:eastAsia="仿宋_GB2312" w:cs="Times New Roman"/>
          <w:sz w:val="32"/>
          <w:szCs w:val="32"/>
          <w:lang w:val="en-US" w:eastAsia="zh-CN"/>
        </w:rPr>
        <w:t>依</w:t>
      </w:r>
      <w:r>
        <w:rPr>
          <w:rFonts w:hint="eastAsia" w:eastAsia="仿宋_GB2312" w:cs="Times New Roman"/>
          <w:sz w:val="32"/>
          <w:szCs w:val="32"/>
          <w:lang w:val="en-US" w:eastAsia="zh-CN"/>
        </w:rPr>
        <w:t>托</w:t>
      </w:r>
      <w:r>
        <w:rPr>
          <w:rFonts w:hint="default" w:ascii="Times New Roman" w:hAnsi="Times New Roman" w:eastAsia="仿宋_GB2312" w:cs="Times New Roman"/>
          <w:sz w:val="32"/>
          <w:szCs w:val="32"/>
          <w:lang w:val="en-US" w:eastAsia="zh-CN"/>
        </w:rPr>
        <w:t>三亚市</w:t>
      </w:r>
      <w:r>
        <w:rPr>
          <w:rFonts w:hint="eastAsia" w:eastAsia="仿宋_GB2312" w:cs="Times New Roman"/>
          <w:sz w:val="32"/>
          <w:szCs w:val="32"/>
          <w:lang w:val="en-US" w:eastAsia="zh-CN"/>
        </w:rPr>
        <w:t>再生资源集散中心</w:t>
      </w:r>
      <w:r>
        <w:rPr>
          <w:rFonts w:hint="default" w:ascii="Times New Roman" w:hAnsi="Times New Roman" w:eastAsia="仿宋_GB2312" w:cs="Times New Roman"/>
          <w:sz w:val="32"/>
          <w:szCs w:val="32"/>
          <w:lang w:val="en-US" w:eastAsia="zh-CN"/>
        </w:rPr>
        <w:t>，积极探索搭建1个再生资源管理服务平台，培育扶持3-5家龙头企业，引导推广先进回收模式、创新分拣技术，实现全区回收服务功能全覆盖，纳入规范化管理的回收人员达到90%以上，再生资源废钢铁、废铜废铝、废铅、废锌、废纸、废塑料、废橡胶、废玻璃等9种主要品种回收率达到95%以上。</w:t>
      </w:r>
    </w:p>
    <w:p>
      <w:pPr>
        <w:pStyle w:val="3"/>
        <w:pageBreakBefore w:val="0"/>
        <w:kinsoku/>
        <w:wordWrap/>
        <w:overflowPunct/>
        <w:topLinePunct w:val="0"/>
        <w:autoSpaceDE/>
        <w:autoSpaceDN/>
        <w:bidi w:val="0"/>
        <w:spacing w:line="560" w:lineRule="exact"/>
        <w:textAlignment w:val="auto"/>
        <w:rPr>
          <w:rFonts w:hint="default" w:ascii="Times New Roman" w:hAnsi="Times New Roman" w:eastAsia="黑体" w:cs="Times New Roman"/>
          <w:sz w:val="32"/>
          <w:szCs w:val="32"/>
          <w:lang w:val="en-US" w:eastAsia="zh-CN"/>
        </w:rPr>
        <w:sectPr>
          <w:pgSz w:w="11905" w:h="16838"/>
          <w:pgMar w:top="2098" w:right="1474" w:bottom="1984" w:left="1587" w:header="851" w:footer="992" w:gutter="0"/>
          <w:pgNumType w:fmt="decimal"/>
          <w:cols w:space="0" w:num="1"/>
          <w:rtlGutter w:val="0"/>
          <w:docGrid w:type="lines" w:linePitch="439" w:charSpace="0"/>
        </w:sectPr>
      </w:pPr>
    </w:p>
    <w:p>
      <w:pPr>
        <w:keepNext w:val="0"/>
        <w:keepLines w:val="0"/>
        <w:pageBreakBefore w:val="0"/>
        <w:widowControl w:val="0"/>
        <w:kinsoku/>
        <w:wordWrap/>
        <w:overflowPunct/>
        <w:topLinePunct w:val="0"/>
        <w:autoSpaceDE/>
        <w:autoSpaceDN/>
        <w:bidi w:val="0"/>
        <w:adjustRightInd w:val="0"/>
        <w:snapToGrid w:val="0"/>
        <w:spacing w:before="0" w:after="0" w:line="560" w:lineRule="exact"/>
        <w:ind w:firstLine="0" w:firstLineChars="0"/>
        <w:jc w:val="center"/>
        <w:textAlignment w:val="auto"/>
        <w:outlineLvl w:val="1"/>
        <w:rPr>
          <w:rFonts w:hint="default" w:eastAsia="黑体"/>
          <w:bCs/>
          <w:kern w:val="44"/>
          <w:sz w:val="32"/>
          <w:szCs w:val="44"/>
          <w:lang w:val="en-US" w:eastAsia="zh-CN"/>
        </w:rPr>
      </w:pPr>
      <w:bookmarkStart w:id="147" w:name="_Toc6022"/>
      <w:bookmarkStart w:id="148" w:name="_Toc24920"/>
      <w:r>
        <w:rPr>
          <w:rFonts w:hint="default" w:eastAsia="黑体"/>
          <w:bCs/>
          <w:kern w:val="44"/>
          <w:sz w:val="32"/>
          <w:szCs w:val="44"/>
          <w:lang w:val="en-US" w:eastAsia="zh-CN"/>
        </w:rPr>
        <w:t>第</w:t>
      </w:r>
      <w:r>
        <w:rPr>
          <w:rFonts w:hint="eastAsia" w:eastAsia="黑体"/>
          <w:bCs/>
          <w:kern w:val="44"/>
          <w:sz w:val="32"/>
          <w:szCs w:val="44"/>
          <w:lang w:val="en-US" w:eastAsia="zh-CN"/>
        </w:rPr>
        <w:t>三</w:t>
      </w:r>
      <w:r>
        <w:rPr>
          <w:rFonts w:hint="default" w:eastAsia="黑体"/>
          <w:bCs/>
          <w:kern w:val="44"/>
          <w:sz w:val="32"/>
          <w:szCs w:val="44"/>
          <w:lang w:val="en-US" w:eastAsia="zh-CN"/>
        </w:rPr>
        <w:t xml:space="preserve">章 </w:t>
      </w:r>
      <w:r>
        <w:rPr>
          <w:rFonts w:hint="eastAsia" w:eastAsia="黑体"/>
          <w:bCs/>
          <w:kern w:val="44"/>
          <w:sz w:val="32"/>
          <w:szCs w:val="44"/>
          <w:lang w:val="en-US" w:eastAsia="zh-CN"/>
        </w:rPr>
        <w:t xml:space="preserve"> </w:t>
      </w:r>
      <w:r>
        <w:rPr>
          <w:rFonts w:hint="default" w:eastAsia="黑体"/>
          <w:bCs/>
          <w:kern w:val="44"/>
          <w:sz w:val="32"/>
          <w:szCs w:val="44"/>
          <w:lang w:val="en-US" w:eastAsia="zh-CN"/>
        </w:rPr>
        <w:t>规划布局</w:t>
      </w:r>
      <w:bookmarkEnd w:id="147"/>
      <w:bookmarkEnd w:id="148"/>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eastAsia" w:ascii="楷体" w:hAnsi="楷体" w:eastAsia="楷体" w:cs="楷体"/>
          <w:b/>
          <w:bCs/>
          <w:color w:val="auto"/>
          <w:highlight w:val="none"/>
          <w:lang w:val="en-US" w:eastAsia="zh-CN"/>
        </w:rPr>
      </w:pPr>
      <w:bookmarkStart w:id="149" w:name="_Toc11206"/>
      <w:bookmarkStart w:id="150" w:name="_Toc29957"/>
      <w:bookmarkStart w:id="151" w:name="_Toc9452"/>
      <w:bookmarkStart w:id="152" w:name="_Toc13862"/>
      <w:bookmarkStart w:id="153" w:name="_Toc30079"/>
      <w:bookmarkStart w:id="154" w:name="_Toc23443"/>
      <w:bookmarkStart w:id="155" w:name="_Toc18881"/>
      <w:bookmarkStart w:id="156" w:name="_Toc23352"/>
      <w:bookmarkStart w:id="157" w:name="_Toc28206"/>
      <w:r>
        <w:rPr>
          <w:rFonts w:hint="eastAsia" w:ascii="楷体" w:hAnsi="楷体" w:eastAsia="楷体" w:cs="楷体"/>
          <w:b/>
          <w:bCs/>
          <w:color w:val="auto"/>
          <w:highlight w:val="none"/>
          <w:lang w:val="en-US" w:eastAsia="zh-CN"/>
        </w:rPr>
        <w:t>第一节 规划范围和对象</w:t>
      </w:r>
      <w:bookmarkEnd w:id="149"/>
      <w:bookmarkEnd w:id="150"/>
      <w:bookmarkEnd w:id="151"/>
      <w:bookmarkEnd w:id="152"/>
      <w:bookmarkEnd w:id="153"/>
      <w:bookmarkEnd w:id="154"/>
      <w:bookmarkEnd w:id="155"/>
      <w:bookmarkEnd w:id="156"/>
      <w:bookmarkEnd w:id="157"/>
    </w:p>
    <w:p>
      <w:pPr>
        <w:pageBreakBefore w:val="0"/>
        <w:kinsoku/>
        <w:wordWrap/>
        <w:overflowPunct/>
        <w:topLinePunct w:val="0"/>
        <w:autoSpaceDE/>
        <w:autoSpaceDN/>
        <w:bidi w:val="0"/>
        <w:spacing w:line="560" w:lineRule="exact"/>
        <w:jc w:val="both"/>
        <w:textAlignment w:val="auto"/>
        <w:rPr>
          <w:rFonts w:hint="default" w:ascii="Times New Roman" w:hAnsi="Times New Roman" w:eastAsia="仿宋_GB2312" w:cs="Times New Roman"/>
          <w:sz w:val="32"/>
          <w:szCs w:val="32"/>
          <w:lang w:val="en-US" w:eastAsia="zh-CN"/>
        </w:rPr>
      </w:pPr>
      <w:r>
        <w:rPr>
          <w:rFonts w:hint="eastAsia" w:eastAsia="仿宋_GB2312" w:cs="Times New Roman"/>
          <w:sz w:val="32"/>
          <w:szCs w:val="32"/>
          <w:lang w:val="en-US" w:eastAsia="zh-CN"/>
        </w:rPr>
        <w:t>规划</w:t>
      </w:r>
      <w:r>
        <w:rPr>
          <w:rFonts w:hint="default" w:ascii="Times New Roman" w:hAnsi="Times New Roman" w:eastAsia="仿宋_GB2312" w:cs="Times New Roman"/>
          <w:sz w:val="32"/>
          <w:szCs w:val="32"/>
          <w:lang w:val="en-US" w:eastAsia="zh-CN"/>
        </w:rPr>
        <w:t>三亚市天涯区全域，总面积624.9平方公里，覆盖27个社区居委会、19个村委会，共46个村（居）级单元。</w:t>
      </w:r>
      <w:bookmarkStart w:id="158" w:name="_Toc31808"/>
      <w:bookmarkStart w:id="159" w:name="_Toc11729"/>
      <w:r>
        <w:rPr>
          <w:rFonts w:hint="default" w:ascii="Times New Roman" w:hAnsi="Times New Roman" w:eastAsia="仿宋_GB2312" w:cs="Times New Roman"/>
          <w:sz w:val="32"/>
          <w:szCs w:val="32"/>
          <w:lang w:val="en-US" w:eastAsia="zh-CN"/>
        </w:rPr>
        <w:t>包括回收设施体系与再生资源品类两部分。回收设施体系包括固定交投点、</w:t>
      </w:r>
      <w:r>
        <w:rPr>
          <w:rFonts w:hint="eastAsia" w:eastAsia="仿宋_GB2312" w:cs="Times New Roman"/>
          <w:sz w:val="32"/>
          <w:szCs w:val="32"/>
          <w:lang w:val="en-US" w:eastAsia="zh-CN"/>
        </w:rPr>
        <w:t>中转站、</w:t>
      </w:r>
      <w:r>
        <w:rPr>
          <w:rFonts w:hint="default" w:ascii="Times New Roman" w:hAnsi="Times New Roman" w:eastAsia="仿宋_GB2312" w:cs="Times New Roman"/>
          <w:sz w:val="32"/>
          <w:szCs w:val="32"/>
          <w:lang w:val="en-US" w:eastAsia="zh-CN"/>
        </w:rPr>
        <w:t>分拣中心等从事再生资源回收经营活动</w:t>
      </w:r>
      <w:r>
        <w:rPr>
          <w:rFonts w:hint="eastAsia" w:eastAsia="仿宋_GB2312" w:cs="Times New Roman"/>
          <w:sz w:val="32"/>
          <w:szCs w:val="32"/>
          <w:lang w:val="en-US" w:eastAsia="zh-CN"/>
        </w:rPr>
        <w:t>的场所</w:t>
      </w:r>
      <w:r>
        <w:rPr>
          <w:rFonts w:hint="default" w:ascii="Times New Roman" w:hAnsi="Times New Roman" w:eastAsia="仿宋_GB2312" w:cs="Times New Roman"/>
          <w:sz w:val="32"/>
          <w:szCs w:val="32"/>
          <w:lang w:val="en-US" w:eastAsia="zh-CN"/>
        </w:rPr>
        <w:t>。再生资源回收品类主要为固体废弃物，具体包括废旧金属、报废电子产品、报废机电设备及其零部件、废造纸原料（如废纸、废棉、废木等）、废轻化工原料（如橡胶、塑料等）、废玻璃、废软包装等固体废弃物的回收。重点是废旧日用品、生活垃圾、工业垃圾等固体废弃物中的可回收加工利用再生资源回收。不包括气体和液体；也不包括危险废物（包括医疗废物）、建筑垃圾、餐厨垃圾、大件垃圾等需专业闭环收运的特殊处理处置废弃物回收。</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eastAsia" w:ascii="楷体" w:hAnsi="楷体" w:eastAsia="楷体" w:cs="楷体"/>
          <w:b/>
          <w:bCs/>
          <w:color w:val="auto"/>
          <w:highlight w:val="none"/>
          <w:lang w:val="en-US" w:eastAsia="zh-CN"/>
        </w:rPr>
      </w:pPr>
      <w:bookmarkStart w:id="160" w:name="_Toc11340"/>
      <w:r>
        <w:rPr>
          <w:rFonts w:hint="eastAsia" w:ascii="楷体" w:hAnsi="楷体" w:eastAsia="楷体" w:cs="楷体"/>
          <w:b/>
          <w:bCs/>
          <w:color w:val="auto"/>
          <w:highlight w:val="none"/>
          <w:lang w:val="en-US" w:eastAsia="zh-CN"/>
        </w:rPr>
        <w:t>第二节 规划期限</w:t>
      </w:r>
      <w:bookmarkEnd w:id="160"/>
    </w:p>
    <w:bookmarkEnd w:id="158"/>
    <w:bookmarkEnd w:id="159"/>
    <w:p>
      <w:pPr>
        <w:pageBreakBefore w:val="0"/>
        <w:kinsoku/>
        <w:wordWrap/>
        <w:overflowPunct/>
        <w:topLinePunct w:val="0"/>
        <w:autoSpaceDE/>
        <w:autoSpaceDN/>
        <w:bidi w:val="0"/>
        <w:spacing w:line="560" w:lineRule="exact"/>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规划期限为2026年至2030年。</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eastAsia" w:ascii="楷体" w:hAnsi="楷体" w:eastAsia="楷体" w:cs="楷体"/>
          <w:b/>
          <w:bCs/>
          <w:color w:val="auto"/>
          <w:highlight w:val="none"/>
          <w:lang w:val="en-US" w:eastAsia="zh-CN"/>
        </w:rPr>
      </w:pPr>
      <w:bookmarkStart w:id="161" w:name="_Toc13439"/>
      <w:r>
        <w:rPr>
          <w:rFonts w:hint="eastAsia" w:ascii="楷体" w:hAnsi="楷体" w:eastAsia="楷体" w:cs="楷体"/>
          <w:b/>
          <w:bCs/>
          <w:color w:val="auto"/>
          <w:highlight w:val="none"/>
          <w:lang w:val="en-US" w:eastAsia="zh-CN"/>
        </w:rPr>
        <w:t>第三节 总体布局</w:t>
      </w:r>
      <w:bookmarkEnd w:id="161"/>
    </w:p>
    <w:p>
      <w:pPr>
        <w:pageBreakBefore w:val="0"/>
        <w:kinsoku/>
        <w:wordWrap/>
        <w:overflowPunct/>
        <w:topLinePunct w:val="0"/>
        <w:autoSpaceDE/>
        <w:autoSpaceDN/>
        <w:bidi w:val="0"/>
        <w:spacing w:line="560" w:lineRule="exact"/>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根据再生资源回收行业发展政策导向与任务要求、再生资源回收体系相关建设管理规范标准，结合</w:t>
      </w:r>
      <w:r>
        <w:rPr>
          <w:rFonts w:hint="eastAsia" w:eastAsia="仿宋_GB2312" w:cs="Times New Roman"/>
          <w:sz w:val="32"/>
          <w:szCs w:val="32"/>
          <w:lang w:val="en-US" w:eastAsia="zh-CN"/>
        </w:rPr>
        <w:t>天涯区</w:t>
      </w:r>
      <w:r>
        <w:rPr>
          <w:rFonts w:hint="default" w:ascii="Times New Roman" w:hAnsi="Times New Roman" w:eastAsia="仿宋_GB2312" w:cs="Times New Roman"/>
          <w:sz w:val="32"/>
          <w:szCs w:val="32"/>
          <w:lang w:val="en-US" w:eastAsia="zh-CN"/>
        </w:rPr>
        <w:t>再生资源回收行业发展基础、行业未来发展趋势，规划布局全省再生资源三级回收体系。</w:t>
      </w:r>
    </w:p>
    <w:p>
      <w:pPr>
        <w:pageBreakBefore w:val="0"/>
        <w:kinsoku/>
        <w:wordWrap/>
        <w:overflowPunct/>
        <w:topLinePunct w:val="0"/>
        <w:autoSpaceDE/>
        <w:autoSpaceDN/>
        <w:bidi w:val="0"/>
        <w:spacing w:line="560" w:lineRule="exact"/>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第一级为</w:t>
      </w:r>
      <w:r>
        <w:rPr>
          <w:rFonts w:hint="eastAsia" w:eastAsia="仿宋_GB2312" w:cs="Times New Roman"/>
          <w:sz w:val="32"/>
          <w:szCs w:val="32"/>
          <w:lang w:val="en-US" w:eastAsia="zh-CN"/>
        </w:rPr>
        <w:t>固定交投点</w:t>
      </w:r>
      <w:r>
        <w:rPr>
          <w:rFonts w:hint="default" w:ascii="Times New Roman" w:hAnsi="Times New Roman" w:eastAsia="仿宋_GB2312" w:cs="Times New Roman"/>
          <w:sz w:val="32"/>
          <w:szCs w:val="32"/>
          <w:lang w:val="en-US" w:eastAsia="zh-CN"/>
        </w:rPr>
        <w:t>，是回收体系的神经末梢，包括交投点和中转站。交投点主要布局到村（居）、公共机构、工矿企业、商贸批发区、商贸零售区等，承担再生资源的收集、初级分类和临时储存等功能。</w:t>
      </w:r>
    </w:p>
    <w:p>
      <w:pPr>
        <w:pageBreakBefore w:val="0"/>
        <w:kinsoku/>
        <w:wordWrap/>
        <w:overflowPunct/>
        <w:topLinePunct w:val="0"/>
        <w:autoSpaceDE/>
        <w:autoSpaceDN/>
        <w:bidi w:val="0"/>
        <w:spacing w:line="560" w:lineRule="exact"/>
        <w:jc w:val="both"/>
        <w:textAlignment w:val="auto"/>
        <w:rPr>
          <w:rFonts w:hint="eastAsia" w:eastAsia="仿宋_GB2312" w:cs="Times New Roman"/>
          <w:sz w:val="32"/>
          <w:szCs w:val="32"/>
          <w:lang w:val="en-US" w:eastAsia="zh-CN"/>
        </w:rPr>
      </w:pPr>
      <w:r>
        <w:rPr>
          <w:rFonts w:hint="eastAsia" w:eastAsia="仿宋_GB2312" w:cs="Times New Roman"/>
          <w:sz w:val="32"/>
          <w:szCs w:val="32"/>
          <w:lang w:val="en-US" w:eastAsia="zh-CN"/>
        </w:rPr>
        <w:t>第二级为</w:t>
      </w:r>
      <w:r>
        <w:rPr>
          <w:rFonts w:hint="default" w:ascii="Times New Roman" w:hAnsi="Times New Roman" w:eastAsia="仿宋_GB2312" w:cs="Times New Roman"/>
          <w:sz w:val="32"/>
          <w:szCs w:val="32"/>
          <w:lang w:val="en-US" w:eastAsia="zh-CN"/>
        </w:rPr>
        <w:t>中转站</w:t>
      </w:r>
      <w:r>
        <w:rPr>
          <w:rFonts w:hint="eastAsia" w:eastAsia="仿宋_GB2312" w:cs="Times New Roman"/>
          <w:sz w:val="32"/>
          <w:szCs w:val="32"/>
          <w:lang w:val="en-US" w:eastAsia="zh-CN"/>
        </w:rPr>
        <w:t>，是再生资源回收体系“前端固定交投点—中端中转站—末端分拣中心”三级网络中的核心枢纽，承担着区域收储、初步分拣、压缩打包和转运调度等关键功能。科学划分中转站服务片区、合理确定中转站数量和布局，直接关系到全区的收运效率、运营成本和体系可持续性。</w:t>
      </w:r>
    </w:p>
    <w:p>
      <w:pPr>
        <w:pageBreakBefore w:val="0"/>
        <w:kinsoku/>
        <w:wordWrap/>
        <w:overflowPunct/>
        <w:topLinePunct w:val="0"/>
        <w:autoSpaceDE/>
        <w:autoSpaceDN/>
        <w:bidi w:val="0"/>
        <w:spacing w:line="560" w:lineRule="exact"/>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第</w:t>
      </w:r>
      <w:r>
        <w:rPr>
          <w:rFonts w:hint="eastAsia" w:eastAsia="仿宋_GB2312" w:cs="Times New Roman"/>
          <w:sz w:val="32"/>
          <w:szCs w:val="32"/>
          <w:lang w:val="en-US" w:eastAsia="zh-CN"/>
        </w:rPr>
        <w:t>三</w:t>
      </w:r>
      <w:r>
        <w:rPr>
          <w:rFonts w:hint="default" w:ascii="Times New Roman" w:hAnsi="Times New Roman" w:eastAsia="仿宋_GB2312" w:cs="Times New Roman"/>
          <w:sz w:val="32"/>
          <w:szCs w:val="32"/>
          <w:lang w:val="en-US" w:eastAsia="zh-CN"/>
        </w:rPr>
        <w:t>级为</w:t>
      </w:r>
      <w:r>
        <w:rPr>
          <w:rFonts w:hint="eastAsia" w:eastAsia="仿宋_GB2312" w:cs="Times New Roman"/>
          <w:sz w:val="32"/>
          <w:szCs w:val="32"/>
          <w:lang w:val="en-US" w:eastAsia="zh-CN"/>
        </w:rPr>
        <w:t>区级绿色</w:t>
      </w:r>
      <w:r>
        <w:rPr>
          <w:rFonts w:hint="default" w:ascii="Times New Roman" w:hAnsi="Times New Roman" w:eastAsia="仿宋_GB2312" w:cs="Times New Roman"/>
          <w:sz w:val="32"/>
          <w:szCs w:val="32"/>
          <w:lang w:val="en-US" w:eastAsia="zh-CN"/>
        </w:rPr>
        <w:t>分拣中心</w:t>
      </w:r>
      <w:r>
        <w:rPr>
          <w:rFonts w:hint="eastAsia"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依托三亚市再生资源集散中心，满足全区分拣、拆解、清洗、破碎、打包、暂存需求。</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default" w:ascii="楷体" w:hAnsi="楷体" w:eastAsia="楷体" w:cs="楷体"/>
          <w:b/>
          <w:bCs/>
          <w:color w:val="auto"/>
          <w:highlight w:val="none"/>
          <w:lang w:val="en-US" w:eastAsia="zh-CN"/>
        </w:rPr>
      </w:pPr>
      <w:bookmarkStart w:id="162" w:name="_Toc9055"/>
      <w:bookmarkStart w:id="163" w:name="_Toc17137"/>
      <w:r>
        <w:rPr>
          <w:rFonts w:hint="eastAsia" w:ascii="楷体" w:hAnsi="楷体" w:eastAsia="楷体" w:cs="楷体"/>
          <w:b/>
          <w:bCs/>
          <w:color w:val="auto"/>
          <w:highlight w:val="none"/>
          <w:lang w:val="en-US" w:eastAsia="zh-CN"/>
        </w:rPr>
        <w:t xml:space="preserve">第四节 </w:t>
      </w:r>
      <w:r>
        <w:rPr>
          <w:rFonts w:hint="default" w:ascii="楷体" w:hAnsi="楷体" w:eastAsia="楷体" w:cs="楷体"/>
          <w:b/>
          <w:bCs/>
          <w:color w:val="auto"/>
          <w:highlight w:val="none"/>
          <w:lang w:val="en-US" w:eastAsia="zh-CN"/>
        </w:rPr>
        <w:t>固定交投点</w:t>
      </w:r>
      <w:bookmarkEnd w:id="162"/>
      <w:bookmarkEnd w:id="163"/>
    </w:p>
    <w:p>
      <w:pPr>
        <w:pageBreakBefore w:val="0"/>
        <w:kinsoku/>
        <w:wordWrap/>
        <w:overflowPunct/>
        <w:topLinePunct w:val="0"/>
        <w:autoSpaceDE/>
        <w:autoSpaceDN/>
        <w:bidi w:val="0"/>
        <w:spacing w:line="560" w:lineRule="exact"/>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固定交投点作为回收体系最前端便民服务节点，覆盖全区村（社区）生活性再生资源归集需求，严格依据《再生资源回收利用体系回收站点建设规范》（GB/T45732-2025）《三亚市再生资源回收管理实施细则》建设运营，从设置数量、选址红线、场地规模、建筑结构、消防安全、环境保护六个维度统一建设标准。</w:t>
      </w:r>
    </w:p>
    <w:p>
      <w:pPr>
        <w:pStyle w:val="27"/>
        <w:jc w:val="center"/>
        <w:rPr>
          <w:rFonts w:hint="default"/>
          <w:sz w:val="30"/>
          <w:szCs w:val="30"/>
          <w:lang w:val="en-US" w:eastAsia="zh-CN"/>
        </w:rPr>
      </w:pPr>
      <w:r>
        <w:rPr>
          <w:rFonts w:hint="eastAsia" w:eastAsia="仿宋_GB2312" w:cs="Times New Roman"/>
          <w:b/>
          <w:bCs/>
          <w:sz w:val="30"/>
          <w:szCs w:val="30"/>
          <w:lang w:val="en-US" w:eastAsia="zh-CN"/>
        </w:rPr>
        <w:t>表1 “十五五”再生资源回收利用</w:t>
      </w:r>
      <w:r>
        <w:rPr>
          <w:rFonts w:hint="default" w:ascii="Times New Roman" w:hAnsi="Times New Roman" w:eastAsia="仿宋_GB2312" w:cs="Times New Roman"/>
          <w:b/>
          <w:bCs/>
          <w:i w:val="0"/>
          <w:iCs w:val="0"/>
          <w:color w:val="000000"/>
          <w:kern w:val="0"/>
          <w:sz w:val="30"/>
          <w:szCs w:val="30"/>
          <w:u w:val="none"/>
          <w:lang w:val="en-US" w:eastAsia="zh-CN" w:bidi="ar"/>
        </w:rPr>
        <w:t>固定交投点数量（个）指引表</w:t>
      </w:r>
    </w:p>
    <w:tbl>
      <w:tblPr>
        <w:tblStyle w:val="16"/>
        <w:tblW w:w="90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70"/>
        <w:gridCol w:w="2042"/>
        <w:gridCol w:w="1535"/>
        <w:gridCol w:w="1535"/>
        <w:gridCol w:w="1535"/>
        <w:gridCol w:w="15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1191" w:hRule="atLeast"/>
          <w:tblHeader/>
        </w:trPr>
        <w:tc>
          <w:tcPr>
            <w:tcW w:w="87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bCs/>
                <w:i w:val="0"/>
                <w:iCs w:val="0"/>
                <w:color w:val="000000"/>
                <w:sz w:val="30"/>
                <w:szCs w:val="30"/>
                <w:u w:val="none"/>
              </w:rPr>
            </w:pPr>
            <w:r>
              <w:rPr>
                <w:rFonts w:hint="default" w:ascii="Times New Roman" w:hAnsi="Times New Roman" w:eastAsia="仿宋_GB2312" w:cs="Times New Roman"/>
                <w:b/>
                <w:bCs/>
                <w:i w:val="0"/>
                <w:iCs w:val="0"/>
                <w:color w:val="000000"/>
                <w:kern w:val="0"/>
                <w:sz w:val="30"/>
                <w:szCs w:val="30"/>
                <w:u w:val="none"/>
                <w:lang w:val="en-US" w:eastAsia="zh-CN" w:bidi="ar"/>
              </w:rPr>
              <w:t>序号</w:t>
            </w:r>
          </w:p>
        </w:tc>
        <w:tc>
          <w:tcPr>
            <w:tcW w:w="204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bCs/>
                <w:i w:val="0"/>
                <w:iCs w:val="0"/>
                <w:color w:val="000000"/>
                <w:sz w:val="30"/>
                <w:szCs w:val="30"/>
                <w:u w:val="none"/>
              </w:rPr>
            </w:pPr>
            <w:r>
              <w:rPr>
                <w:rFonts w:hint="default" w:ascii="Times New Roman" w:hAnsi="Times New Roman" w:eastAsia="仿宋_GB2312" w:cs="Times New Roman"/>
                <w:b/>
                <w:bCs/>
                <w:i w:val="0"/>
                <w:iCs w:val="0"/>
                <w:color w:val="000000"/>
                <w:kern w:val="0"/>
                <w:sz w:val="30"/>
                <w:szCs w:val="30"/>
                <w:u w:val="none"/>
                <w:lang w:val="en-US" w:eastAsia="zh-CN" w:bidi="ar"/>
              </w:rPr>
              <w:t>村（社区）</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仿宋_GB2312" w:cs="Times New Roman"/>
                <w:b/>
                <w:bCs/>
                <w:i w:val="0"/>
                <w:iCs w:val="0"/>
                <w:color w:val="000000"/>
                <w:kern w:val="0"/>
                <w:sz w:val="30"/>
                <w:szCs w:val="30"/>
                <w:u w:val="none"/>
                <w:lang w:val="en-US" w:eastAsia="zh-CN" w:bidi="ar"/>
              </w:rPr>
            </w:pPr>
            <w:r>
              <w:rPr>
                <w:rFonts w:hint="eastAsia" w:ascii="Times New Roman" w:hAnsi="Times New Roman" w:eastAsia="仿宋_GB2312" w:cs="Times New Roman"/>
                <w:b/>
                <w:bCs/>
                <w:i w:val="0"/>
                <w:iCs w:val="0"/>
                <w:color w:val="000000"/>
                <w:kern w:val="0"/>
                <w:sz w:val="30"/>
                <w:szCs w:val="30"/>
                <w:u w:val="none"/>
                <w:lang w:val="en-US" w:eastAsia="zh-CN" w:bidi="ar"/>
              </w:rPr>
              <w:t>2026年</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仿宋_GB2312" w:cs="Times New Roman"/>
                <w:b/>
                <w:bCs/>
                <w:i w:val="0"/>
                <w:iCs w:val="0"/>
                <w:color w:val="000000"/>
                <w:kern w:val="0"/>
                <w:sz w:val="30"/>
                <w:szCs w:val="30"/>
                <w:u w:val="none"/>
                <w:lang w:val="en-US" w:eastAsia="zh-CN" w:bidi="ar"/>
              </w:rPr>
            </w:pPr>
            <w:r>
              <w:rPr>
                <w:rFonts w:hint="eastAsia" w:ascii="Times New Roman" w:hAnsi="Times New Roman" w:eastAsia="仿宋_GB2312" w:cs="Times New Roman"/>
                <w:b/>
                <w:bCs/>
                <w:i w:val="0"/>
                <w:iCs w:val="0"/>
                <w:color w:val="000000"/>
                <w:kern w:val="0"/>
                <w:sz w:val="30"/>
                <w:szCs w:val="30"/>
                <w:u w:val="none"/>
                <w:lang w:val="en-US" w:eastAsia="zh-CN" w:bidi="ar"/>
              </w:rPr>
              <w:t>应设</w:t>
            </w:r>
            <w:r>
              <w:rPr>
                <w:rFonts w:hint="eastAsia" w:eastAsia="仿宋_GB2312" w:cs="Times New Roman"/>
                <w:b/>
                <w:bCs/>
                <w:i w:val="0"/>
                <w:iCs w:val="0"/>
                <w:color w:val="000000"/>
                <w:kern w:val="0"/>
                <w:sz w:val="30"/>
                <w:szCs w:val="30"/>
                <w:u w:val="none"/>
                <w:lang w:val="en-US" w:eastAsia="zh-CN" w:bidi="ar"/>
              </w:rPr>
              <w:t>下</w:t>
            </w:r>
            <w:r>
              <w:rPr>
                <w:rFonts w:hint="eastAsia" w:ascii="Times New Roman" w:hAnsi="Times New Roman" w:eastAsia="仿宋_GB2312" w:cs="Times New Roman"/>
                <w:b/>
                <w:bCs/>
                <w:i w:val="0"/>
                <w:iCs w:val="0"/>
                <w:color w:val="000000"/>
                <w:kern w:val="0"/>
                <w:sz w:val="30"/>
                <w:szCs w:val="30"/>
                <w:u w:val="none"/>
                <w:lang w:val="en-US" w:eastAsia="zh-CN" w:bidi="ar"/>
              </w:rPr>
              <w:t>限</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仿宋_GB2312" w:cs="Times New Roman"/>
                <w:b/>
                <w:bCs/>
                <w:i w:val="0"/>
                <w:iCs w:val="0"/>
                <w:color w:val="000000"/>
                <w:kern w:val="0"/>
                <w:sz w:val="30"/>
                <w:szCs w:val="30"/>
                <w:u w:val="none"/>
                <w:lang w:val="en-US" w:eastAsia="zh-CN" w:bidi="ar"/>
              </w:rPr>
            </w:pPr>
            <w:r>
              <w:rPr>
                <w:rFonts w:hint="eastAsia" w:ascii="Times New Roman" w:hAnsi="Times New Roman" w:eastAsia="仿宋_GB2312" w:cs="Times New Roman"/>
                <w:b/>
                <w:bCs/>
                <w:i w:val="0"/>
                <w:iCs w:val="0"/>
                <w:color w:val="000000"/>
                <w:kern w:val="0"/>
                <w:sz w:val="30"/>
                <w:szCs w:val="30"/>
                <w:u w:val="none"/>
                <w:lang w:val="en-US" w:eastAsia="zh-CN" w:bidi="ar"/>
              </w:rPr>
              <w:t>2026年</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仿宋_GB2312" w:cs="Times New Roman"/>
                <w:b/>
                <w:bCs/>
                <w:i w:val="0"/>
                <w:iCs w:val="0"/>
                <w:color w:val="000000"/>
                <w:kern w:val="0"/>
                <w:sz w:val="30"/>
                <w:szCs w:val="30"/>
                <w:u w:val="none"/>
                <w:lang w:val="en-US" w:eastAsia="zh-CN" w:bidi="ar"/>
              </w:rPr>
            </w:pPr>
            <w:r>
              <w:rPr>
                <w:rFonts w:hint="eastAsia" w:ascii="Times New Roman" w:hAnsi="Times New Roman" w:eastAsia="仿宋_GB2312" w:cs="Times New Roman"/>
                <w:b/>
                <w:bCs/>
                <w:i w:val="0"/>
                <w:iCs w:val="0"/>
                <w:color w:val="000000"/>
                <w:kern w:val="0"/>
                <w:sz w:val="30"/>
                <w:szCs w:val="30"/>
                <w:u w:val="none"/>
                <w:lang w:val="en-US" w:eastAsia="zh-CN" w:bidi="ar"/>
              </w:rPr>
              <w:t>应设</w:t>
            </w:r>
            <w:r>
              <w:rPr>
                <w:rFonts w:hint="eastAsia" w:eastAsia="仿宋_GB2312" w:cs="Times New Roman"/>
                <w:b/>
                <w:bCs/>
                <w:i w:val="0"/>
                <w:iCs w:val="0"/>
                <w:color w:val="000000"/>
                <w:kern w:val="0"/>
                <w:sz w:val="30"/>
                <w:szCs w:val="30"/>
                <w:u w:val="none"/>
                <w:lang w:val="en-US" w:eastAsia="zh-CN" w:bidi="ar"/>
              </w:rPr>
              <w:t>上</w:t>
            </w:r>
            <w:r>
              <w:rPr>
                <w:rFonts w:hint="eastAsia" w:ascii="Times New Roman" w:hAnsi="Times New Roman" w:eastAsia="仿宋_GB2312" w:cs="Times New Roman"/>
                <w:b/>
                <w:bCs/>
                <w:i w:val="0"/>
                <w:iCs w:val="0"/>
                <w:color w:val="000000"/>
                <w:kern w:val="0"/>
                <w:sz w:val="30"/>
                <w:szCs w:val="30"/>
                <w:u w:val="none"/>
                <w:lang w:val="en-US" w:eastAsia="zh-CN" w:bidi="ar"/>
              </w:rPr>
              <w:t>限</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仿宋_GB2312" w:cs="Times New Roman"/>
                <w:b/>
                <w:bCs/>
                <w:i w:val="0"/>
                <w:iCs w:val="0"/>
                <w:color w:val="000000"/>
                <w:kern w:val="0"/>
                <w:sz w:val="30"/>
                <w:szCs w:val="30"/>
                <w:u w:val="none"/>
                <w:lang w:val="en-US" w:eastAsia="zh-CN" w:bidi="ar"/>
              </w:rPr>
            </w:pPr>
            <w:r>
              <w:rPr>
                <w:rFonts w:hint="eastAsia" w:ascii="Times New Roman" w:hAnsi="Times New Roman" w:eastAsia="仿宋_GB2312" w:cs="Times New Roman"/>
                <w:b/>
                <w:bCs/>
                <w:i w:val="0"/>
                <w:iCs w:val="0"/>
                <w:color w:val="000000"/>
                <w:kern w:val="0"/>
                <w:sz w:val="30"/>
                <w:szCs w:val="30"/>
                <w:u w:val="none"/>
                <w:lang w:val="en-US" w:eastAsia="zh-CN" w:bidi="ar"/>
              </w:rPr>
              <w:t>2030年</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bCs/>
                <w:i w:val="0"/>
                <w:iCs w:val="0"/>
                <w:color w:val="000000"/>
                <w:kern w:val="0"/>
                <w:sz w:val="30"/>
                <w:szCs w:val="30"/>
                <w:u w:val="none"/>
                <w:lang w:val="en-US" w:eastAsia="zh-CN" w:bidi="ar"/>
              </w:rPr>
            </w:pPr>
            <w:r>
              <w:rPr>
                <w:rFonts w:hint="eastAsia" w:ascii="Times New Roman" w:hAnsi="Times New Roman" w:eastAsia="仿宋_GB2312" w:cs="Times New Roman"/>
                <w:b/>
                <w:bCs/>
                <w:i w:val="0"/>
                <w:iCs w:val="0"/>
                <w:color w:val="000000"/>
                <w:kern w:val="0"/>
                <w:sz w:val="30"/>
                <w:szCs w:val="30"/>
                <w:u w:val="none"/>
                <w:lang w:val="en-US" w:eastAsia="zh-CN" w:bidi="ar"/>
              </w:rPr>
              <w:t>应设</w:t>
            </w:r>
            <w:r>
              <w:rPr>
                <w:rFonts w:hint="eastAsia" w:eastAsia="仿宋_GB2312" w:cs="Times New Roman"/>
                <w:b/>
                <w:bCs/>
                <w:i w:val="0"/>
                <w:iCs w:val="0"/>
                <w:color w:val="000000"/>
                <w:kern w:val="0"/>
                <w:sz w:val="30"/>
                <w:szCs w:val="30"/>
                <w:u w:val="none"/>
                <w:lang w:val="en-US" w:eastAsia="zh-CN" w:bidi="ar"/>
              </w:rPr>
              <w:t>下</w:t>
            </w:r>
            <w:r>
              <w:rPr>
                <w:rFonts w:hint="eastAsia" w:ascii="Times New Roman" w:hAnsi="Times New Roman" w:eastAsia="仿宋_GB2312" w:cs="Times New Roman"/>
                <w:b/>
                <w:bCs/>
                <w:i w:val="0"/>
                <w:iCs w:val="0"/>
                <w:color w:val="000000"/>
                <w:kern w:val="0"/>
                <w:sz w:val="30"/>
                <w:szCs w:val="30"/>
                <w:u w:val="none"/>
                <w:lang w:val="en-US" w:eastAsia="zh-CN" w:bidi="ar"/>
              </w:rPr>
              <w:t>限</w:t>
            </w:r>
          </w:p>
        </w:tc>
        <w:tc>
          <w:tcPr>
            <w:tcW w:w="153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仿宋_GB2312" w:cs="Times New Roman"/>
                <w:b/>
                <w:bCs/>
                <w:i w:val="0"/>
                <w:iCs w:val="0"/>
                <w:color w:val="000000"/>
                <w:kern w:val="0"/>
                <w:sz w:val="30"/>
                <w:szCs w:val="30"/>
                <w:u w:val="none"/>
                <w:lang w:val="en-US" w:eastAsia="zh-CN" w:bidi="ar"/>
              </w:rPr>
            </w:pPr>
            <w:r>
              <w:rPr>
                <w:rFonts w:hint="eastAsia" w:ascii="Times New Roman" w:hAnsi="Times New Roman" w:eastAsia="仿宋_GB2312" w:cs="Times New Roman"/>
                <w:b/>
                <w:bCs/>
                <w:i w:val="0"/>
                <w:iCs w:val="0"/>
                <w:color w:val="000000"/>
                <w:kern w:val="0"/>
                <w:sz w:val="30"/>
                <w:szCs w:val="30"/>
                <w:u w:val="none"/>
                <w:lang w:val="en-US" w:eastAsia="zh-CN" w:bidi="ar"/>
              </w:rPr>
              <w:t>2030年</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bCs/>
                <w:i w:val="0"/>
                <w:iCs w:val="0"/>
                <w:color w:val="000000"/>
                <w:kern w:val="0"/>
                <w:sz w:val="30"/>
                <w:szCs w:val="30"/>
                <w:u w:val="none"/>
                <w:lang w:val="en-US" w:eastAsia="zh-CN" w:bidi="ar"/>
              </w:rPr>
            </w:pPr>
            <w:r>
              <w:rPr>
                <w:rFonts w:hint="eastAsia" w:ascii="Times New Roman" w:hAnsi="Times New Roman" w:eastAsia="仿宋_GB2312" w:cs="Times New Roman"/>
                <w:b/>
                <w:bCs/>
                <w:i w:val="0"/>
                <w:iCs w:val="0"/>
                <w:color w:val="000000"/>
                <w:kern w:val="0"/>
                <w:sz w:val="30"/>
                <w:szCs w:val="30"/>
                <w:u w:val="none"/>
                <w:lang w:val="en-US" w:eastAsia="zh-CN" w:bidi="ar"/>
              </w:rPr>
              <w:t>应设上限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7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仿宋_GB2312" w:cs="Times New Roman"/>
                <w:b w:val="0"/>
                <w:bCs w:val="0"/>
                <w:i w:val="0"/>
                <w:iCs w:val="0"/>
                <w:color w:val="000000"/>
                <w:kern w:val="0"/>
                <w:sz w:val="30"/>
                <w:szCs w:val="30"/>
                <w:u w:val="none"/>
                <w:lang w:val="en-US" w:eastAsia="zh-CN" w:bidi="ar"/>
              </w:rPr>
              <w:t>1</w:t>
            </w:r>
          </w:p>
        </w:tc>
        <w:tc>
          <w:tcPr>
            <w:tcW w:w="204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仿宋_GB2312" w:cs="Times New Roman"/>
                <w:b w:val="0"/>
                <w:bCs w:val="0"/>
                <w:i w:val="0"/>
                <w:iCs w:val="0"/>
                <w:color w:val="000000"/>
                <w:kern w:val="0"/>
                <w:sz w:val="30"/>
                <w:szCs w:val="30"/>
                <w:u w:val="none"/>
                <w:lang w:val="en-US" w:eastAsia="zh-CN" w:bidi="ar"/>
              </w:rPr>
              <w:t>场站社区</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7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仿宋_GB2312" w:cs="Times New Roman"/>
                <w:b w:val="0"/>
                <w:bCs w:val="0"/>
                <w:i w:val="0"/>
                <w:iCs w:val="0"/>
                <w:color w:val="000000"/>
                <w:kern w:val="0"/>
                <w:sz w:val="30"/>
                <w:szCs w:val="30"/>
                <w:u w:val="none"/>
                <w:lang w:val="en-US" w:eastAsia="zh-CN" w:bidi="ar"/>
              </w:rPr>
              <w:t>2</w:t>
            </w:r>
          </w:p>
        </w:tc>
        <w:tc>
          <w:tcPr>
            <w:tcW w:w="204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仿宋_GB2312" w:cs="Times New Roman"/>
                <w:b w:val="0"/>
                <w:bCs w:val="0"/>
                <w:i w:val="0"/>
                <w:iCs w:val="0"/>
                <w:color w:val="000000"/>
                <w:kern w:val="0"/>
                <w:sz w:val="30"/>
                <w:szCs w:val="30"/>
                <w:u w:val="none"/>
                <w:lang w:val="en-US" w:eastAsia="zh-CN" w:bidi="ar"/>
              </w:rPr>
              <w:t>朝阳社区</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7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仿宋_GB2312" w:cs="Times New Roman"/>
                <w:b w:val="0"/>
                <w:bCs w:val="0"/>
                <w:i w:val="0"/>
                <w:iCs w:val="0"/>
                <w:color w:val="000000"/>
                <w:kern w:val="0"/>
                <w:sz w:val="30"/>
                <w:szCs w:val="30"/>
                <w:u w:val="none"/>
                <w:lang w:val="en-US" w:eastAsia="zh-CN" w:bidi="ar"/>
              </w:rPr>
              <w:t>3</w:t>
            </w:r>
          </w:p>
        </w:tc>
        <w:tc>
          <w:tcPr>
            <w:tcW w:w="204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仿宋_GB2312" w:cs="Times New Roman"/>
                <w:b w:val="0"/>
                <w:bCs w:val="0"/>
                <w:i w:val="0"/>
                <w:iCs w:val="0"/>
                <w:color w:val="000000"/>
                <w:kern w:val="0"/>
                <w:sz w:val="30"/>
                <w:szCs w:val="30"/>
                <w:u w:val="none"/>
                <w:lang w:val="en-US" w:eastAsia="zh-CN" w:bidi="ar"/>
              </w:rPr>
              <w:t>春园社区</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7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仿宋_GB2312" w:cs="Times New Roman"/>
                <w:b w:val="0"/>
                <w:bCs w:val="0"/>
                <w:i w:val="0"/>
                <w:iCs w:val="0"/>
                <w:color w:val="000000"/>
                <w:kern w:val="0"/>
                <w:sz w:val="30"/>
                <w:szCs w:val="30"/>
                <w:u w:val="none"/>
                <w:lang w:val="en-US" w:eastAsia="zh-CN" w:bidi="ar"/>
              </w:rPr>
              <w:t>4</w:t>
            </w:r>
          </w:p>
        </w:tc>
        <w:tc>
          <w:tcPr>
            <w:tcW w:w="204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仿宋_GB2312" w:cs="Times New Roman"/>
                <w:b w:val="0"/>
                <w:bCs w:val="0"/>
                <w:i w:val="0"/>
                <w:iCs w:val="0"/>
                <w:color w:val="000000"/>
                <w:kern w:val="0"/>
                <w:sz w:val="30"/>
                <w:szCs w:val="30"/>
                <w:u w:val="none"/>
                <w:lang w:val="en-US" w:eastAsia="zh-CN" w:bidi="ar"/>
              </w:rPr>
              <w:t>儋州村社区</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7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仿宋_GB2312" w:cs="Times New Roman"/>
                <w:b w:val="0"/>
                <w:bCs w:val="0"/>
                <w:i w:val="0"/>
                <w:iCs w:val="0"/>
                <w:color w:val="000000"/>
                <w:kern w:val="0"/>
                <w:sz w:val="30"/>
                <w:szCs w:val="30"/>
                <w:u w:val="none"/>
                <w:lang w:val="en-US" w:eastAsia="zh-CN" w:bidi="ar"/>
              </w:rPr>
              <w:t>5</w:t>
            </w:r>
          </w:p>
        </w:tc>
        <w:tc>
          <w:tcPr>
            <w:tcW w:w="204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仿宋_GB2312" w:cs="Times New Roman"/>
                <w:b w:val="0"/>
                <w:bCs w:val="0"/>
                <w:i w:val="0"/>
                <w:iCs w:val="0"/>
                <w:color w:val="000000"/>
                <w:kern w:val="0"/>
                <w:sz w:val="30"/>
                <w:szCs w:val="30"/>
                <w:u w:val="none"/>
                <w:lang w:val="en-US" w:eastAsia="zh-CN" w:bidi="ar"/>
              </w:rPr>
              <w:t>光明社区</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7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仿宋_GB2312" w:cs="Times New Roman"/>
                <w:b w:val="0"/>
                <w:bCs w:val="0"/>
                <w:i w:val="0"/>
                <w:iCs w:val="0"/>
                <w:color w:val="000000"/>
                <w:kern w:val="0"/>
                <w:sz w:val="30"/>
                <w:szCs w:val="30"/>
                <w:u w:val="none"/>
                <w:lang w:val="en-US" w:eastAsia="zh-CN" w:bidi="ar"/>
              </w:rPr>
              <w:t>6</w:t>
            </w:r>
          </w:p>
        </w:tc>
        <w:tc>
          <w:tcPr>
            <w:tcW w:w="204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仿宋_GB2312" w:cs="Times New Roman"/>
                <w:b w:val="0"/>
                <w:bCs w:val="0"/>
                <w:i w:val="0"/>
                <w:iCs w:val="0"/>
                <w:color w:val="000000"/>
                <w:kern w:val="0"/>
                <w:sz w:val="30"/>
                <w:szCs w:val="30"/>
                <w:u w:val="none"/>
                <w:lang w:val="en-US" w:eastAsia="zh-CN" w:bidi="ar"/>
              </w:rPr>
              <w:t>和平社区</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7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仿宋_GB2312" w:cs="Times New Roman"/>
                <w:b w:val="0"/>
                <w:bCs w:val="0"/>
                <w:i w:val="0"/>
                <w:iCs w:val="0"/>
                <w:color w:val="000000"/>
                <w:kern w:val="0"/>
                <w:sz w:val="30"/>
                <w:szCs w:val="30"/>
                <w:u w:val="none"/>
                <w:lang w:val="en-US" w:eastAsia="zh-CN" w:bidi="ar"/>
              </w:rPr>
              <w:t>7</w:t>
            </w:r>
          </w:p>
        </w:tc>
        <w:tc>
          <w:tcPr>
            <w:tcW w:w="204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仿宋_GB2312" w:cs="Times New Roman"/>
                <w:b w:val="0"/>
                <w:bCs w:val="0"/>
                <w:i w:val="0"/>
                <w:iCs w:val="0"/>
                <w:color w:val="000000"/>
                <w:kern w:val="0"/>
                <w:sz w:val="30"/>
                <w:szCs w:val="30"/>
                <w:u w:val="none"/>
                <w:lang w:val="en-US" w:eastAsia="zh-CN" w:bidi="ar"/>
              </w:rPr>
              <w:t>红旗街社区</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7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仿宋_GB2312" w:cs="Times New Roman"/>
                <w:b w:val="0"/>
                <w:bCs w:val="0"/>
                <w:i w:val="0"/>
                <w:iCs w:val="0"/>
                <w:color w:val="000000"/>
                <w:kern w:val="0"/>
                <w:sz w:val="30"/>
                <w:szCs w:val="30"/>
                <w:u w:val="none"/>
                <w:lang w:val="en-US" w:eastAsia="zh-CN" w:bidi="ar"/>
              </w:rPr>
              <w:t>8</w:t>
            </w:r>
          </w:p>
        </w:tc>
        <w:tc>
          <w:tcPr>
            <w:tcW w:w="204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仿宋_GB2312" w:cs="Times New Roman"/>
                <w:b w:val="0"/>
                <w:bCs w:val="0"/>
                <w:i w:val="0"/>
                <w:iCs w:val="0"/>
                <w:color w:val="000000"/>
                <w:kern w:val="0"/>
                <w:sz w:val="30"/>
                <w:szCs w:val="30"/>
                <w:u w:val="none"/>
                <w:lang w:val="en-US" w:eastAsia="zh-CN" w:bidi="ar"/>
              </w:rPr>
              <w:t>机场路社区</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7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仿宋_GB2312" w:cs="Times New Roman"/>
                <w:b w:val="0"/>
                <w:bCs w:val="0"/>
                <w:i w:val="0"/>
                <w:iCs w:val="0"/>
                <w:color w:val="000000"/>
                <w:kern w:val="0"/>
                <w:sz w:val="30"/>
                <w:szCs w:val="30"/>
                <w:u w:val="none"/>
                <w:lang w:val="en-US" w:eastAsia="zh-CN" w:bidi="ar"/>
              </w:rPr>
              <w:t>9</w:t>
            </w:r>
          </w:p>
        </w:tc>
        <w:tc>
          <w:tcPr>
            <w:tcW w:w="204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仿宋_GB2312" w:cs="Times New Roman"/>
                <w:b w:val="0"/>
                <w:bCs w:val="0"/>
                <w:i w:val="0"/>
                <w:iCs w:val="0"/>
                <w:color w:val="000000"/>
                <w:kern w:val="0"/>
                <w:sz w:val="30"/>
                <w:szCs w:val="30"/>
                <w:u w:val="none"/>
                <w:lang w:val="en-US" w:eastAsia="zh-CN" w:bidi="ar"/>
              </w:rPr>
              <w:t>建设街社区</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7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仿宋_GB2312" w:cs="Times New Roman"/>
                <w:b w:val="0"/>
                <w:bCs w:val="0"/>
                <w:i w:val="0"/>
                <w:iCs w:val="0"/>
                <w:color w:val="000000"/>
                <w:kern w:val="0"/>
                <w:sz w:val="30"/>
                <w:szCs w:val="30"/>
                <w:u w:val="none"/>
                <w:lang w:val="en-US" w:eastAsia="zh-CN" w:bidi="ar"/>
              </w:rPr>
              <w:t>10</w:t>
            </w:r>
          </w:p>
        </w:tc>
        <w:tc>
          <w:tcPr>
            <w:tcW w:w="204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仿宋_GB2312" w:cs="Times New Roman"/>
                <w:b w:val="0"/>
                <w:bCs w:val="0"/>
                <w:i w:val="0"/>
                <w:iCs w:val="0"/>
                <w:color w:val="000000"/>
                <w:kern w:val="0"/>
                <w:sz w:val="30"/>
                <w:szCs w:val="30"/>
                <w:u w:val="none"/>
                <w:lang w:val="en-US" w:eastAsia="zh-CN" w:bidi="ar"/>
              </w:rPr>
              <w:t>金鸡岭路社区</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7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仿宋_GB2312" w:cs="Times New Roman"/>
                <w:b w:val="0"/>
                <w:bCs w:val="0"/>
                <w:i w:val="0"/>
                <w:iCs w:val="0"/>
                <w:color w:val="000000"/>
                <w:kern w:val="0"/>
                <w:sz w:val="30"/>
                <w:szCs w:val="30"/>
                <w:u w:val="none"/>
                <w:lang w:val="en-US" w:eastAsia="zh-CN" w:bidi="ar"/>
              </w:rPr>
              <w:t>11</w:t>
            </w:r>
          </w:p>
        </w:tc>
        <w:tc>
          <w:tcPr>
            <w:tcW w:w="204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仿宋_GB2312" w:cs="Times New Roman"/>
                <w:b w:val="0"/>
                <w:bCs w:val="0"/>
                <w:i w:val="0"/>
                <w:iCs w:val="0"/>
                <w:color w:val="000000"/>
                <w:kern w:val="0"/>
                <w:sz w:val="30"/>
                <w:szCs w:val="30"/>
                <w:u w:val="none"/>
                <w:lang w:val="en-US" w:eastAsia="zh-CN" w:bidi="ar"/>
              </w:rPr>
              <w:t>岭北社区</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7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仿宋_GB2312" w:cs="Times New Roman"/>
                <w:b w:val="0"/>
                <w:bCs w:val="0"/>
                <w:i w:val="0"/>
                <w:iCs w:val="0"/>
                <w:color w:val="000000"/>
                <w:kern w:val="0"/>
                <w:sz w:val="30"/>
                <w:szCs w:val="30"/>
                <w:u w:val="none"/>
                <w:lang w:val="en-US" w:eastAsia="zh-CN" w:bidi="ar"/>
              </w:rPr>
              <w:t>12</w:t>
            </w:r>
          </w:p>
        </w:tc>
        <w:tc>
          <w:tcPr>
            <w:tcW w:w="204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仿宋_GB2312" w:cs="Times New Roman"/>
                <w:b w:val="0"/>
                <w:bCs w:val="0"/>
                <w:i w:val="0"/>
                <w:iCs w:val="0"/>
                <w:color w:val="000000"/>
                <w:kern w:val="0"/>
                <w:sz w:val="30"/>
                <w:szCs w:val="30"/>
                <w:u w:val="none"/>
                <w:lang w:val="en-US" w:eastAsia="zh-CN" w:bidi="ar"/>
              </w:rPr>
              <w:t>南海社区</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7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仿宋_GB2312" w:cs="Times New Roman"/>
                <w:b w:val="0"/>
                <w:bCs w:val="0"/>
                <w:i w:val="0"/>
                <w:iCs w:val="0"/>
                <w:color w:val="000000"/>
                <w:kern w:val="0"/>
                <w:sz w:val="30"/>
                <w:szCs w:val="30"/>
                <w:u w:val="none"/>
                <w:lang w:val="en-US" w:eastAsia="zh-CN" w:bidi="ar"/>
              </w:rPr>
              <w:t>13</w:t>
            </w:r>
          </w:p>
        </w:tc>
        <w:tc>
          <w:tcPr>
            <w:tcW w:w="204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仿宋_GB2312" w:cs="Times New Roman"/>
                <w:b w:val="0"/>
                <w:bCs w:val="0"/>
                <w:i w:val="0"/>
                <w:iCs w:val="0"/>
                <w:color w:val="000000"/>
                <w:kern w:val="0"/>
                <w:sz w:val="30"/>
                <w:szCs w:val="30"/>
                <w:u w:val="none"/>
                <w:lang w:val="en-US" w:eastAsia="zh-CN" w:bidi="ar"/>
              </w:rPr>
              <w:t>群众街社区</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7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仿宋_GB2312" w:cs="Times New Roman"/>
                <w:b w:val="0"/>
                <w:bCs w:val="0"/>
                <w:i w:val="0"/>
                <w:iCs w:val="0"/>
                <w:color w:val="000000"/>
                <w:kern w:val="0"/>
                <w:sz w:val="30"/>
                <w:szCs w:val="30"/>
                <w:u w:val="none"/>
                <w:lang w:val="en-US" w:eastAsia="zh-CN" w:bidi="ar"/>
              </w:rPr>
              <w:t>14</w:t>
            </w:r>
          </w:p>
        </w:tc>
        <w:tc>
          <w:tcPr>
            <w:tcW w:w="204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仿宋_GB2312" w:cs="Times New Roman"/>
                <w:b w:val="0"/>
                <w:bCs w:val="0"/>
                <w:i w:val="0"/>
                <w:iCs w:val="0"/>
                <w:color w:val="000000"/>
                <w:kern w:val="0"/>
                <w:sz w:val="30"/>
                <w:szCs w:val="30"/>
                <w:u w:val="none"/>
                <w:lang w:val="en-US" w:eastAsia="zh-CN" w:bidi="ar"/>
              </w:rPr>
              <w:t>西岛社区</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7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仿宋_GB2312" w:cs="Times New Roman"/>
                <w:b w:val="0"/>
                <w:bCs w:val="0"/>
                <w:i w:val="0"/>
                <w:iCs w:val="0"/>
                <w:color w:val="000000"/>
                <w:kern w:val="0"/>
                <w:sz w:val="30"/>
                <w:szCs w:val="30"/>
                <w:u w:val="none"/>
                <w:lang w:val="en-US" w:eastAsia="zh-CN" w:bidi="ar"/>
              </w:rPr>
              <w:t>15</w:t>
            </w:r>
          </w:p>
        </w:tc>
        <w:tc>
          <w:tcPr>
            <w:tcW w:w="204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仿宋_GB2312" w:cs="Times New Roman"/>
                <w:b w:val="0"/>
                <w:bCs w:val="0"/>
                <w:i w:val="0"/>
                <w:iCs w:val="0"/>
                <w:color w:val="000000"/>
                <w:kern w:val="0"/>
                <w:sz w:val="30"/>
                <w:szCs w:val="30"/>
                <w:u w:val="none"/>
                <w:lang w:val="en-US" w:eastAsia="zh-CN" w:bidi="ar"/>
              </w:rPr>
              <w:t>新建社区</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7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仿宋_GB2312" w:cs="Times New Roman"/>
                <w:b w:val="0"/>
                <w:bCs w:val="0"/>
                <w:i w:val="0"/>
                <w:iCs w:val="0"/>
                <w:color w:val="000000"/>
                <w:kern w:val="0"/>
                <w:sz w:val="30"/>
                <w:szCs w:val="30"/>
                <w:u w:val="none"/>
                <w:lang w:val="en-US" w:eastAsia="zh-CN" w:bidi="ar"/>
              </w:rPr>
              <w:t>16</w:t>
            </w:r>
          </w:p>
        </w:tc>
        <w:tc>
          <w:tcPr>
            <w:tcW w:w="204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仿宋_GB2312" w:cs="Times New Roman"/>
                <w:b w:val="0"/>
                <w:bCs w:val="0"/>
                <w:i w:val="0"/>
                <w:iCs w:val="0"/>
                <w:color w:val="000000"/>
                <w:kern w:val="0"/>
                <w:sz w:val="30"/>
                <w:szCs w:val="30"/>
                <w:u w:val="none"/>
                <w:lang w:val="en-US" w:eastAsia="zh-CN" w:bidi="ar"/>
              </w:rPr>
              <w:t>鸭仔塘社区</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7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仿宋_GB2312" w:cs="Times New Roman"/>
                <w:b w:val="0"/>
                <w:bCs w:val="0"/>
                <w:i w:val="0"/>
                <w:iCs w:val="0"/>
                <w:color w:val="000000"/>
                <w:kern w:val="0"/>
                <w:sz w:val="30"/>
                <w:szCs w:val="30"/>
                <w:u w:val="none"/>
                <w:lang w:val="en-US" w:eastAsia="zh-CN" w:bidi="ar"/>
              </w:rPr>
              <w:t>17</w:t>
            </w:r>
          </w:p>
        </w:tc>
        <w:tc>
          <w:tcPr>
            <w:tcW w:w="204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仿宋_GB2312" w:cs="Times New Roman"/>
                <w:b w:val="0"/>
                <w:bCs w:val="0"/>
                <w:i w:val="0"/>
                <w:iCs w:val="0"/>
                <w:color w:val="000000"/>
                <w:kern w:val="0"/>
                <w:sz w:val="30"/>
                <w:szCs w:val="30"/>
                <w:u w:val="none"/>
                <w:lang w:val="en-US" w:eastAsia="zh-CN" w:bidi="ar"/>
              </w:rPr>
              <w:t>友谊社区</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7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仿宋_GB2312" w:cs="Times New Roman"/>
                <w:b w:val="0"/>
                <w:bCs w:val="0"/>
                <w:i w:val="0"/>
                <w:iCs w:val="0"/>
                <w:color w:val="000000"/>
                <w:kern w:val="0"/>
                <w:sz w:val="30"/>
                <w:szCs w:val="30"/>
                <w:u w:val="none"/>
                <w:lang w:val="en-US" w:eastAsia="zh-CN" w:bidi="ar"/>
              </w:rPr>
              <w:t>18</w:t>
            </w:r>
          </w:p>
        </w:tc>
        <w:tc>
          <w:tcPr>
            <w:tcW w:w="204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仿宋_GB2312" w:cs="Times New Roman"/>
                <w:b w:val="0"/>
                <w:bCs w:val="0"/>
                <w:i w:val="0"/>
                <w:iCs w:val="0"/>
                <w:color w:val="000000"/>
                <w:kern w:val="0"/>
                <w:sz w:val="30"/>
                <w:szCs w:val="30"/>
                <w:u w:val="none"/>
                <w:lang w:val="en-US" w:eastAsia="zh-CN" w:bidi="ar"/>
              </w:rPr>
              <w:t>榆港社区</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7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仿宋_GB2312" w:cs="Times New Roman"/>
                <w:b w:val="0"/>
                <w:bCs w:val="0"/>
                <w:i w:val="0"/>
                <w:iCs w:val="0"/>
                <w:color w:val="000000"/>
                <w:kern w:val="0"/>
                <w:sz w:val="30"/>
                <w:szCs w:val="30"/>
                <w:u w:val="none"/>
                <w:lang w:val="en-US" w:eastAsia="zh-CN" w:bidi="ar"/>
              </w:rPr>
              <w:t>19</w:t>
            </w:r>
          </w:p>
        </w:tc>
        <w:tc>
          <w:tcPr>
            <w:tcW w:w="204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仿宋_GB2312" w:cs="Times New Roman"/>
                <w:b w:val="0"/>
                <w:bCs w:val="0"/>
                <w:i w:val="0"/>
                <w:iCs w:val="0"/>
                <w:color w:val="000000"/>
                <w:kern w:val="0"/>
                <w:sz w:val="30"/>
                <w:szCs w:val="30"/>
                <w:u w:val="none"/>
                <w:lang w:val="en-US" w:eastAsia="zh-CN" w:bidi="ar"/>
              </w:rPr>
              <w:t>育春路社区</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c>
          <w:tcPr>
            <w:tcW w:w="153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7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仿宋_GB2312" w:cs="Times New Roman"/>
                <w:b w:val="0"/>
                <w:bCs w:val="0"/>
                <w:i w:val="0"/>
                <w:iCs w:val="0"/>
                <w:color w:val="000000"/>
                <w:kern w:val="0"/>
                <w:sz w:val="30"/>
                <w:szCs w:val="30"/>
                <w:u w:val="none"/>
                <w:lang w:val="en-US" w:eastAsia="zh-CN" w:bidi="ar"/>
              </w:rPr>
              <w:t>20</w:t>
            </w:r>
          </w:p>
        </w:tc>
        <w:tc>
          <w:tcPr>
            <w:tcW w:w="204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仿宋_GB2312" w:cs="Times New Roman"/>
                <w:b w:val="0"/>
                <w:bCs w:val="0"/>
                <w:i w:val="0"/>
                <w:iCs w:val="0"/>
                <w:color w:val="000000"/>
                <w:kern w:val="0"/>
                <w:sz w:val="30"/>
                <w:szCs w:val="30"/>
                <w:u w:val="none"/>
                <w:lang w:val="en-US" w:eastAsia="zh-CN" w:bidi="ar"/>
              </w:rPr>
              <w:t>回辉社区</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c>
          <w:tcPr>
            <w:tcW w:w="153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7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仿宋_GB2312" w:cs="Times New Roman"/>
                <w:b w:val="0"/>
                <w:bCs w:val="0"/>
                <w:i w:val="0"/>
                <w:iCs w:val="0"/>
                <w:color w:val="000000"/>
                <w:kern w:val="0"/>
                <w:sz w:val="30"/>
                <w:szCs w:val="30"/>
                <w:u w:val="none"/>
                <w:lang w:val="en-US" w:eastAsia="zh-CN" w:bidi="ar"/>
              </w:rPr>
              <w:t>21</w:t>
            </w:r>
          </w:p>
        </w:tc>
        <w:tc>
          <w:tcPr>
            <w:tcW w:w="204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仿宋_GB2312" w:cs="Times New Roman"/>
                <w:b w:val="0"/>
                <w:bCs w:val="0"/>
                <w:i w:val="0"/>
                <w:iCs w:val="0"/>
                <w:color w:val="000000"/>
                <w:kern w:val="0"/>
                <w:sz w:val="30"/>
                <w:szCs w:val="30"/>
                <w:u w:val="none"/>
                <w:lang w:val="en-US" w:eastAsia="zh-CN" w:bidi="ar"/>
              </w:rPr>
              <w:t>回新社区</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c>
          <w:tcPr>
            <w:tcW w:w="153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7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仿宋_GB2312" w:cs="Times New Roman"/>
                <w:b w:val="0"/>
                <w:bCs w:val="0"/>
                <w:i w:val="0"/>
                <w:iCs w:val="0"/>
                <w:color w:val="000000"/>
                <w:kern w:val="0"/>
                <w:sz w:val="30"/>
                <w:szCs w:val="30"/>
                <w:u w:val="none"/>
                <w:lang w:val="en-US" w:eastAsia="zh-CN" w:bidi="ar"/>
              </w:rPr>
              <w:t>22</w:t>
            </w:r>
          </w:p>
        </w:tc>
        <w:tc>
          <w:tcPr>
            <w:tcW w:w="204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仿宋_GB2312" w:cs="Times New Roman"/>
                <w:b w:val="0"/>
                <w:bCs w:val="0"/>
                <w:i w:val="0"/>
                <w:iCs w:val="0"/>
                <w:color w:val="000000"/>
                <w:kern w:val="0"/>
                <w:sz w:val="30"/>
                <w:szCs w:val="30"/>
                <w:u w:val="none"/>
                <w:lang w:val="en-US" w:eastAsia="zh-CN" w:bidi="ar"/>
              </w:rPr>
              <w:t>羊新社区</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7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仿宋_GB2312" w:cs="Times New Roman"/>
                <w:b w:val="0"/>
                <w:bCs w:val="0"/>
                <w:i w:val="0"/>
                <w:iCs w:val="0"/>
                <w:color w:val="000000"/>
                <w:kern w:val="0"/>
                <w:sz w:val="30"/>
                <w:szCs w:val="30"/>
                <w:u w:val="none"/>
                <w:lang w:val="en-US" w:eastAsia="zh-CN" w:bidi="ar"/>
              </w:rPr>
              <w:t>23</w:t>
            </w:r>
          </w:p>
        </w:tc>
        <w:tc>
          <w:tcPr>
            <w:tcW w:w="204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仿宋_GB2312" w:cs="Times New Roman"/>
                <w:b w:val="0"/>
                <w:bCs w:val="0"/>
                <w:i w:val="0"/>
                <w:iCs w:val="0"/>
                <w:color w:val="000000"/>
                <w:kern w:val="0"/>
                <w:sz w:val="30"/>
                <w:szCs w:val="30"/>
                <w:u w:val="none"/>
                <w:lang w:val="en-US" w:eastAsia="zh-CN" w:bidi="ar"/>
              </w:rPr>
              <w:t>羊栏村委会</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c>
          <w:tcPr>
            <w:tcW w:w="153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7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kern w:val="0"/>
                <w:sz w:val="30"/>
                <w:szCs w:val="30"/>
                <w:u w:val="none"/>
                <w:lang w:val="en-US" w:eastAsia="zh-CN" w:bidi="ar"/>
              </w:rPr>
              <w:t>24</w:t>
            </w:r>
          </w:p>
        </w:tc>
        <w:tc>
          <w:tcPr>
            <w:tcW w:w="204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kern w:val="0"/>
                <w:sz w:val="30"/>
                <w:szCs w:val="30"/>
                <w:u w:val="none"/>
                <w:lang w:val="en-US" w:eastAsia="zh-CN" w:bidi="ar"/>
              </w:rPr>
              <w:t>水蛟村委会</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4</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3</w:t>
            </w:r>
          </w:p>
        </w:tc>
        <w:tc>
          <w:tcPr>
            <w:tcW w:w="153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7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kern w:val="0"/>
                <w:sz w:val="30"/>
                <w:szCs w:val="30"/>
                <w:u w:val="none"/>
                <w:lang w:val="en-US" w:eastAsia="zh-CN" w:bidi="ar"/>
              </w:rPr>
              <w:t>25</w:t>
            </w:r>
          </w:p>
        </w:tc>
        <w:tc>
          <w:tcPr>
            <w:tcW w:w="204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kern w:val="0"/>
                <w:sz w:val="30"/>
                <w:szCs w:val="30"/>
                <w:u w:val="none"/>
                <w:lang w:val="en-US" w:eastAsia="zh-CN" w:bidi="ar"/>
              </w:rPr>
              <w:t>梅村村委会</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7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kern w:val="0"/>
                <w:sz w:val="30"/>
                <w:szCs w:val="30"/>
                <w:u w:val="none"/>
                <w:lang w:val="en-US" w:eastAsia="zh-CN" w:bidi="ar"/>
              </w:rPr>
              <w:t>26</w:t>
            </w:r>
          </w:p>
        </w:tc>
        <w:tc>
          <w:tcPr>
            <w:tcW w:w="204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kern w:val="0"/>
                <w:sz w:val="30"/>
                <w:szCs w:val="30"/>
                <w:u w:val="none"/>
                <w:lang w:val="en-US" w:eastAsia="zh-CN" w:bidi="ar"/>
              </w:rPr>
              <w:t>桶井村委会</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4</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3</w:t>
            </w:r>
          </w:p>
        </w:tc>
        <w:tc>
          <w:tcPr>
            <w:tcW w:w="153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7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kern w:val="0"/>
                <w:sz w:val="30"/>
                <w:szCs w:val="30"/>
                <w:u w:val="none"/>
                <w:lang w:val="en-US" w:eastAsia="zh-CN" w:bidi="ar"/>
              </w:rPr>
              <w:t>27</w:t>
            </w:r>
          </w:p>
        </w:tc>
        <w:tc>
          <w:tcPr>
            <w:tcW w:w="204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kern w:val="0"/>
                <w:sz w:val="30"/>
                <w:szCs w:val="30"/>
                <w:u w:val="none"/>
                <w:lang w:val="en-US" w:eastAsia="zh-CN" w:bidi="ar"/>
              </w:rPr>
              <w:t>海坡社区</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c>
          <w:tcPr>
            <w:tcW w:w="153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7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kern w:val="0"/>
                <w:sz w:val="30"/>
                <w:szCs w:val="30"/>
                <w:u w:val="none"/>
                <w:lang w:val="en-US" w:eastAsia="zh-CN" w:bidi="ar"/>
              </w:rPr>
              <w:t>28</w:t>
            </w:r>
          </w:p>
        </w:tc>
        <w:tc>
          <w:tcPr>
            <w:tcW w:w="204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kern w:val="0"/>
                <w:sz w:val="30"/>
                <w:szCs w:val="30"/>
                <w:u w:val="none"/>
                <w:lang w:val="en-US" w:eastAsia="zh-CN" w:bidi="ar"/>
              </w:rPr>
              <w:t>三亚湾社区</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7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kern w:val="0"/>
                <w:sz w:val="30"/>
                <w:szCs w:val="30"/>
                <w:u w:val="none"/>
                <w:lang w:val="en-US" w:eastAsia="zh-CN" w:bidi="ar"/>
              </w:rPr>
              <w:t>29</w:t>
            </w:r>
          </w:p>
        </w:tc>
        <w:tc>
          <w:tcPr>
            <w:tcW w:w="204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kern w:val="0"/>
                <w:sz w:val="30"/>
                <w:szCs w:val="30"/>
                <w:u w:val="none"/>
                <w:lang w:val="en-US" w:eastAsia="zh-CN" w:bidi="ar"/>
              </w:rPr>
              <w:t>槟榔村委会</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3</w:t>
            </w:r>
          </w:p>
        </w:tc>
        <w:tc>
          <w:tcPr>
            <w:tcW w:w="153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7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kern w:val="0"/>
                <w:sz w:val="30"/>
                <w:szCs w:val="30"/>
                <w:u w:val="none"/>
                <w:lang w:val="en-US" w:eastAsia="zh-CN" w:bidi="ar"/>
              </w:rPr>
              <w:t>30</w:t>
            </w:r>
          </w:p>
        </w:tc>
        <w:tc>
          <w:tcPr>
            <w:tcW w:w="204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kern w:val="0"/>
                <w:sz w:val="30"/>
                <w:szCs w:val="30"/>
                <w:u w:val="none"/>
                <w:lang w:val="en-US" w:eastAsia="zh-CN" w:bidi="ar"/>
              </w:rPr>
              <w:t>妙林村委会</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3</w:t>
            </w:r>
          </w:p>
        </w:tc>
        <w:tc>
          <w:tcPr>
            <w:tcW w:w="153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7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kern w:val="0"/>
                <w:sz w:val="30"/>
                <w:szCs w:val="30"/>
                <w:u w:val="none"/>
                <w:lang w:val="en-US" w:eastAsia="zh-CN" w:bidi="ar"/>
              </w:rPr>
              <w:t>31</w:t>
            </w:r>
          </w:p>
        </w:tc>
        <w:tc>
          <w:tcPr>
            <w:tcW w:w="204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kern w:val="0"/>
                <w:sz w:val="30"/>
                <w:szCs w:val="30"/>
                <w:u w:val="none"/>
                <w:lang w:val="en-US" w:eastAsia="zh-CN" w:bidi="ar"/>
              </w:rPr>
              <w:t>新联村委会</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3</w:t>
            </w:r>
          </w:p>
        </w:tc>
        <w:tc>
          <w:tcPr>
            <w:tcW w:w="153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7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kern w:val="0"/>
                <w:sz w:val="30"/>
                <w:szCs w:val="30"/>
                <w:u w:val="none"/>
                <w:lang w:val="en-US" w:eastAsia="zh-CN" w:bidi="ar"/>
              </w:rPr>
              <w:t>32</w:t>
            </w:r>
          </w:p>
        </w:tc>
        <w:tc>
          <w:tcPr>
            <w:tcW w:w="204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kern w:val="0"/>
                <w:sz w:val="30"/>
                <w:szCs w:val="30"/>
                <w:u w:val="none"/>
                <w:lang w:val="en-US" w:eastAsia="zh-CN" w:bidi="ar"/>
              </w:rPr>
              <w:t>南岛社区</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c>
          <w:tcPr>
            <w:tcW w:w="153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7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kern w:val="0"/>
                <w:sz w:val="30"/>
                <w:szCs w:val="30"/>
                <w:u w:val="none"/>
                <w:lang w:val="en-US" w:eastAsia="zh-CN" w:bidi="ar"/>
              </w:rPr>
              <w:t>33</w:t>
            </w:r>
          </w:p>
        </w:tc>
        <w:tc>
          <w:tcPr>
            <w:tcW w:w="204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kern w:val="0"/>
                <w:sz w:val="30"/>
                <w:szCs w:val="30"/>
                <w:u w:val="none"/>
                <w:lang w:val="en-US" w:eastAsia="zh-CN" w:bidi="ar"/>
              </w:rPr>
              <w:t>抱前村委会</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7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kern w:val="0"/>
                <w:sz w:val="30"/>
                <w:szCs w:val="30"/>
                <w:u w:val="none"/>
                <w:lang w:val="en-US" w:eastAsia="zh-CN" w:bidi="ar"/>
              </w:rPr>
              <w:t>34</w:t>
            </w:r>
          </w:p>
        </w:tc>
        <w:tc>
          <w:tcPr>
            <w:tcW w:w="204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kern w:val="0"/>
                <w:sz w:val="30"/>
                <w:szCs w:val="30"/>
                <w:u w:val="none"/>
                <w:lang w:val="en-US" w:eastAsia="zh-CN" w:bidi="ar"/>
              </w:rPr>
              <w:t>抱龙村委会</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7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kern w:val="0"/>
                <w:sz w:val="30"/>
                <w:szCs w:val="30"/>
                <w:u w:val="none"/>
                <w:lang w:val="en-US" w:eastAsia="zh-CN" w:bidi="ar"/>
              </w:rPr>
              <w:t>35</w:t>
            </w:r>
          </w:p>
        </w:tc>
        <w:tc>
          <w:tcPr>
            <w:tcW w:w="204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kern w:val="0"/>
                <w:sz w:val="30"/>
                <w:szCs w:val="30"/>
                <w:u w:val="none"/>
                <w:lang w:val="en-US" w:eastAsia="zh-CN" w:bidi="ar"/>
              </w:rPr>
              <w:t>台楼村委会</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7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kern w:val="0"/>
                <w:sz w:val="30"/>
                <w:szCs w:val="30"/>
                <w:u w:val="none"/>
                <w:lang w:val="en-US" w:eastAsia="zh-CN" w:bidi="ar"/>
              </w:rPr>
              <w:t>36</w:t>
            </w:r>
          </w:p>
        </w:tc>
        <w:tc>
          <w:tcPr>
            <w:tcW w:w="204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kern w:val="0"/>
                <w:sz w:val="30"/>
                <w:szCs w:val="30"/>
                <w:u w:val="none"/>
                <w:lang w:val="en-US" w:eastAsia="zh-CN" w:bidi="ar"/>
              </w:rPr>
              <w:t>立新村委会</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7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kern w:val="0"/>
                <w:sz w:val="30"/>
                <w:szCs w:val="30"/>
                <w:u w:val="none"/>
                <w:lang w:val="en-US" w:eastAsia="zh-CN" w:bidi="ar"/>
              </w:rPr>
              <w:t>37</w:t>
            </w:r>
          </w:p>
        </w:tc>
        <w:tc>
          <w:tcPr>
            <w:tcW w:w="204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kern w:val="0"/>
                <w:sz w:val="30"/>
                <w:szCs w:val="30"/>
                <w:u w:val="none"/>
                <w:lang w:val="en-US" w:eastAsia="zh-CN" w:bidi="ar"/>
              </w:rPr>
              <w:t>扎南村委会</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7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kern w:val="0"/>
                <w:sz w:val="30"/>
                <w:szCs w:val="30"/>
                <w:u w:val="none"/>
                <w:lang w:val="en-US" w:eastAsia="zh-CN" w:bidi="ar"/>
              </w:rPr>
              <w:t>38</w:t>
            </w:r>
          </w:p>
        </w:tc>
        <w:tc>
          <w:tcPr>
            <w:tcW w:w="204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kern w:val="0"/>
                <w:sz w:val="30"/>
                <w:szCs w:val="30"/>
                <w:u w:val="none"/>
                <w:lang w:val="en-US" w:eastAsia="zh-CN" w:bidi="ar"/>
              </w:rPr>
              <w:t>桃源社区</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3</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7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kern w:val="0"/>
                <w:sz w:val="30"/>
                <w:szCs w:val="30"/>
                <w:u w:val="none"/>
                <w:lang w:val="en-US" w:eastAsia="zh-CN" w:bidi="ar"/>
              </w:rPr>
              <w:t>39</w:t>
            </w:r>
          </w:p>
        </w:tc>
        <w:tc>
          <w:tcPr>
            <w:tcW w:w="204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kern w:val="0"/>
                <w:sz w:val="30"/>
                <w:szCs w:val="30"/>
                <w:u w:val="none"/>
                <w:lang w:val="en-US" w:eastAsia="zh-CN" w:bidi="ar"/>
              </w:rPr>
              <w:t>马岭社区</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7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kern w:val="0"/>
                <w:sz w:val="30"/>
                <w:szCs w:val="30"/>
                <w:u w:val="none"/>
                <w:lang w:val="en-US" w:eastAsia="zh-CN" w:bidi="ar"/>
              </w:rPr>
              <w:t>40</w:t>
            </w:r>
          </w:p>
        </w:tc>
        <w:tc>
          <w:tcPr>
            <w:tcW w:w="204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kern w:val="0"/>
                <w:sz w:val="30"/>
                <w:szCs w:val="30"/>
                <w:u w:val="none"/>
                <w:lang w:val="en-US" w:eastAsia="zh-CN" w:bidi="ar"/>
              </w:rPr>
              <w:t>华丽村委会</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7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kern w:val="0"/>
                <w:sz w:val="30"/>
                <w:szCs w:val="30"/>
                <w:u w:val="none"/>
                <w:lang w:val="en-US" w:eastAsia="zh-CN" w:bidi="ar"/>
              </w:rPr>
              <w:t>41</w:t>
            </w:r>
          </w:p>
        </w:tc>
        <w:tc>
          <w:tcPr>
            <w:tcW w:w="204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kern w:val="0"/>
                <w:sz w:val="30"/>
                <w:szCs w:val="30"/>
                <w:u w:val="none"/>
                <w:lang w:val="en-US" w:eastAsia="zh-CN" w:bidi="ar"/>
              </w:rPr>
              <w:t>过岭村委会</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7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kern w:val="0"/>
                <w:sz w:val="30"/>
                <w:szCs w:val="30"/>
                <w:u w:val="none"/>
                <w:lang w:val="en-US" w:eastAsia="zh-CN" w:bidi="ar"/>
              </w:rPr>
              <w:t>42</w:t>
            </w:r>
          </w:p>
        </w:tc>
        <w:tc>
          <w:tcPr>
            <w:tcW w:w="204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kern w:val="0"/>
                <w:sz w:val="30"/>
                <w:szCs w:val="30"/>
                <w:u w:val="none"/>
                <w:lang w:val="en-US" w:eastAsia="zh-CN" w:bidi="ar"/>
              </w:rPr>
              <w:t>文门村委会</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7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kern w:val="0"/>
                <w:sz w:val="30"/>
                <w:szCs w:val="30"/>
                <w:u w:val="none"/>
                <w:lang w:val="en-US" w:eastAsia="zh-CN" w:bidi="ar"/>
              </w:rPr>
              <w:t>43</w:t>
            </w:r>
          </w:p>
        </w:tc>
        <w:tc>
          <w:tcPr>
            <w:tcW w:w="204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kern w:val="0"/>
                <w:sz w:val="30"/>
                <w:szCs w:val="30"/>
                <w:u w:val="none"/>
                <w:lang w:val="en-US" w:eastAsia="zh-CN" w:bidi="ar"/>
              </w:rPr>
              <w:t>布甫村委会</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c>
          <w:tcPr>
            <w:tcW w:w="153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7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kern w:val="0"/>
                <w:sz w:val="30"/>
                <w:szCs w:val="30"/>
                <w:u w:val="none"/>
                <w:lang w:val="en-US" w:eastAsia="zh-CN" w:bidi="ar"/>
              </w:rPr>
              <w:t>44</w:t>
            </w:r>
          </w:p>
        </w:tc>
        <w:tc>
          <w:tcPr>
            <w:tcW w:w="204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kern w:val="0"/>
                <w:sz w:val="30"/>
                <w:szCs w:val="30"/>
                <w:u w:val="none"/>
                <w:lang w:val="en-US" w:eastAsia="zh-CN" w:bidi="ar"/>
              </w:rPr>
              <w:t>黑土村委会</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3</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c>
          <w:tcPr>
            <w:tcW w:w="153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7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kern w:val="0"/>
                <w:sz w:val="30"/>
                <w:szCs w:val="30"/>
                <w:u w:val="none"/>
                <w:lang w:val="en-US" w:eastAsia="zh-CN" w:bidi="ar"/>
              </w:rPr>
              <w:t>45</w:t>
            </w:r>
          </w:p>
        </w:tc>
        <w:tc>
          <w:tcPr>
            <w:tcW w:w="204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kern w:val="0"/>
                <w:sz w:val="30"/>
                <w:szCs w:val="30"/>
                <w:u w:val="none"/>
                <w:lang w:val="en-US" w:eastAsia="zh-CN" w:bidi="ar"/>
              </w:rPr>
              <w:t>红塘村委会</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3</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c>
          <w:tcPr>
            <w:tcW w:w="153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7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kern w:val="0"/>
                <w:sz w:val="30"/>
                <w:szCs w:val="30"/>
                <w:u w:val="none"/>
                <w:lang w:val="en-US" w:eastAsia="zh-CN" w:bidi="ar"/>
              </w:rPr>
              <w:t>46</w:t>
            </w:r>
          </w:p>
        </w:tc>
        <w:tc>
          <w:tcPr>
            <w:tcW w:w="204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kern w:val="0"/>
                <w:sz w:val="30"/>
                <w:szCs w:val="30"/>
                <w:u w:val="none"/>
                <w:lang w:val="en-US" w:eastAsia="zh-CN" w:bidi="ar"/>
              </w:rPr>
              <w:t>塔岭村委会</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1</w:t>
            </w:r>
          </w:p>
        </w:tc>
        <w:tc>
          <w:tcPr>
            <w:tcW w:w="153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7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kern w:val="0"/>
                <w:sz w:val="30"/>
                <w:szCs w:val="30"/>
                <w:u w:val="none"/>
                <w:lang w:val="en-US" w:eastAsia="zh-CN" w:bidi="ar"/>
              </w:rPr>
            </w:pPr>
            <w:r>
              <w:rPr>
                <w:rFonts w:hint="eastAsia" w:eastAsia="仿宋_GB2312" w:cs="Times New Roman"/>
                <w:b w:val="0"/>
                <w:bCs w:val="0"/>
                <w:i w:val="0"/>
                <w:iCs w:val="0"/>
                <w:color w:val="000000"/>
                <w:kern w:val="0"/>
                <w:sz w:val="30"/>
                <w:szCs w:val="30"/>
                <w:u w:val="none"/>
                <w:lang w:val="en-US" w:eastAsia="zh-CN" w:bidi="ar"/>
              </w:rPr>
              <w:t>总计</w:t>
            </w:r>
          </w:p>
        </w:tc>
        <w:tc>
          <w:tcPr>
            <w:tcW w:w="204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kern w:val="0"/>
                <w:sz w:val="30"/>
                <w:szCs w:val="30"/>
                <w:u w:val="none"/>
                <w:lang w:val="en-US" w:eastAsia="zh-CN" w:bidi="ar"/>
              </w:rPr>
            </w:pPr>
            <w:r>
              <w:rPr>
                <w:rFonts w:hint="eastAsia" w:eastAsia="仿宋_GB2312" w:cs="Times New Roman"/>
                <w:b w:val="0"/>
                <w:bCs w:val="0"/>
                <w:i w:val="0"/>
                <w:iCs w:val="0"/>
                <w:color w:val="000000"/>
                <w:kern w:val="0"/>
                <w:sz w:val="30"/>
                <w:szCs w:val="30"/>
                <w:u w:val="none"/>
                <w:lang w:val="en-US" w:eastAsia="zh-CN" w:bidi="ar"/>
              </w:rPr>
              <w:t>天涯区</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kern w:val="0"/>
                <w:sz w:val="30"/>
                <w:szCs w:val="30"/>
                <w:u w:val="none"/>
                <w:lang w:val="en-US" w:eastAsia="zh-CN" w:bidi="ar"/>
              </w:rPr>
            </w:pPr>
            <w:r>
              <w:rPr>
                <w:rFonts w:hint="default" w:ascii="Times New Roman" w:hAnsi="Times New Roman" w:eastAsia="宋体" w:cs="Times New Roman"/>
                <w:b w:val="0"/>
                <w:bCs w:val="0"/>
                <w:i w:val="0"/>
                <w:iCs w:val="0"/>
                <w:color w:val="000000"/>
                <w:kern w:val="0"/>
                <w:sz w:val="32"/>
                <w:szCs w:val="32"/>
                <w:u w:val="none"/>
                <w:lang w:val="en-US" w:eastAsia="zh-CN" w:bidi="ar"/>
              </w:rPr>
              <w:t>60</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87</w:t>
            </w:r>
          </w:p>
        </w:tc>
        <w:tc>
          <w:tcPr>
            <w:tcW w:w="15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65</w:t>
            </w:r>
          </w:p>
        </w:tc>
        <w:tc>
          <w:tcPr>
            <w:tcW w:w="153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宋体" w:cs="Times New Roman"/>
                <w:b w:val="0"/>
                <w:bCs w:val="0"/>
                <w:i w:val="0"/>
                <w:iCs w:val="0"/>
                <w:color w:val="000000"/>
                <w:kern w:val="0"/>
                <w:sz w:val="32"/>
                <w:szCs w:val="32"/>
                <w:u w:val="none"/>
                <w:lang w:val="en-US" w:eastAsia="zh-CN" w:bidi="ar"/>
              </w:rPr>
              <w:t>80</w:t>
            </w:r>
          </w:p>
        </w:tc>
      </w:tr>
    </w:tbl>
    <w:p>
      <w:pPr>
        <w:pStyle w:val="2"/>
        <w:rPr>
          <w:rFonts w:hint="default"/>
          <w:lang w:val="en-US" w:eastAsia="zh-CN"/>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default" w:ascii="楷体" w:hAnsi="楷体" w:eastAsia="楷体" w:cs="楷体"/>
          <w:b/>
          <w:bCs/>
          <w:color w:val="auto"/>
          <w:highlight w:val="none"/>
          <w:lang w:val="en-US" w:eastAsia="zh-CN"/>
        </w:rPr>
      </w:pPr>
      <w:bookmarkStart w:id="164" w:name="_Toc19718"/>
      <w:bookmarkStart w:id="165" w:name="_Toc5735"/>
      <w:r>
        <w:rPr>
          <w:rFonts w:hint="eastAsia" w:ascii="楷体" w:hAnsi="楷体" w:eastAsia="楷体" w:cs="楷体"/>
          <w:b/>
          <w:bCs/>
          <w:color w:val="auto"/>
          <w:highlight w:val="none"/>
          <w:lang w:val="en-US" w:eastAsia="zh-CN"/>
        </w:rPr>
        <w:t xml:space="preserve">第五节 </w:t>
      </w:r>
      <w:r>
        <w:rPr>
          <w:rFonts w:hint="default" w:ascii="楷体" w:hAnsi="楷体" w:eastAsia="楷体" w:cs="楷体"/>
          <w:b/>
          <w:bCs/>
          <w:color w:val="auto"/>
          <w:highlight w:val="none"/>
          <w:lang w:val="en-US" w:eastAsia="zh-CN"/>
        </w:rPr>
        <w:t>中转站</w:t>
      </w:r>
      <w:bookmarkEnd w:id="164"/>
      <w:bookmarkEnd w:id="165"/>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片区中转站作为衔接前端交投点位与区级分拣中心的中端枢纽，承担片区范围内再生资源集中暂存、初步分拣、压缩打包、统一转运功能。按照“分片统筹、全域覆盖、综合为主、专业补充”的布局思路，全区统一布设</w:t>
      </w:r>
      <w:r>
        <w:rPr>
          <w:rFonts w:hint="eastAsia" w:eastAsia="仿宋_GB2312" w:cs="Times New Roman"/>
          <w:sz w:val="32"/>
          <w:szCs w:val="32"/>
          <w:lang w:val="en-US" w:eastAsia="zh-CN"/>
        </w:rPr>
        <w:t>11</w:t>
      </w:r>
      <w:r>
        <w:rPr>
          <w:rFonts w:hint="default" w:ascii="Times New Roman" w:hAnsi="Times New Roman" w:eastAsia="仿宋_GB2312" w:cs="Times New Roman"/>
          <w:sz w:val="32"/>
          <w:szCs w:val="32"/>
          <w:lang w:val="en-US" w:eastAsia="zh-CN"/>
        </w:rPr>
        <w:t>座综合型中转站，可全面承接废纸、废塑料、废金属、废玻璃、废旧织物等全品类再生资源中转作业；同时按需灵活布设专业型中转站，针对单一品类或关联性强的专项再生资源开展专业化中转归集，形成综合枢纽兜底、专业站点补位的中转体系。</w:t>
      </w:r>
    </w:p>
    <w:p>
      <w:pPr>
        <w:keepNext/>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top"/>
        <w:rPr>
          <w:rFonts w:hint="eastAsia" w:eastAsia="仿宋_GB2312" w:cs="Times New Roman"/>
          <w:b/>
          <w:bCs/>
          <w:i w:val="0"/>
          <w:iCs w:val="0"/>
          <w:color w:val="000000"/>
          <w:kern w:val="0"/>
          <w:sz w:val="30"/>
          <w:szCs w:val="30"/>
          <w:u w:val="none"/>
          <w:lang w:val="en-US" w:eastAsia="zh-CN" w:bidi="ar"/>
        </w:rPr>
      </w:pPr>
      <w:r>
        <w:rPr>
          <w:rFonts w:hint="default" w:ascii="Times New Roman" w:hAnsi="Times New Roman" w:eastAsia="仿宋_GB2312" w:cs="Times New Roman"/>
          <w:b/>
          <w:bCs/>
          <w:sz w:val="30"/>
          <w:szCs w:val="30"/>
          <w:lang w:val="en-US" w:eastAsia="zh-CN"/>
        </w:rPr>
        <w:t>表</w:t>
      </w:r>
      <w:r>
        <w:rPr>
          <w:rFonts w:hint="eastAsia" w:eastAsia="仿宋_GB2312" w:cs="Times New Roman"/>
          <w:b/>
          <w:bCs/>
          <w:sz w:val="30"/>
          <w:szCs w:val="30"/>
          <w:lang w:val="en-US" w:eastAsia="zh-CN"/>
        </w:rPr>
        <w:t xml:space="preserve">2 </w:t>
      </w:r>
      <w:r>
        <w:rPr>
          <w:rFonts w:hint="default" w:ascii="Times New Roman" w:hAnsi="Times New Roman" w:eastAsia="仿宋_GB2312" w:cs="Times New Roman"/>
          <w:b/>
          <w:bCs/>
          <w:sz w:val="30"/>
          <w:szCs w:val="30"/>
          <w:lang w:val="en-US" w:eastAsia="zh-CN"/>
        </w:rPr>
        <w:t>“十五五”再生资源回收利用</w:t>
      </w:r>
      <w:r>
        <w:rPr>
          <w:rFonts w:hint="eastAsia" w:eastAsia="仿宋_GB2312" w:cs="Times New Roman"/>
          <w:b/>
          <w:bCs/>
          <w:sz w:val="30"/>
          <w:szCs w:val="30"/>
          <w:lang w:val="en-US" w:eastAsia="zh-CN"/>
        </w:rPr>
        <w:t>中转站</w:t>
      </w:r>
      <w:r>
        <w:rPr>
          <w:rFonts w:hint="default" w:ascii="Times New Roman" w:hAnsi="Times New Roman" w:eastAsia="仿宋_GB2312" w:cs="Times New Roman"/>
          <w:b/>
          <w:bCs/>
          <w:sz w:val="30"/>
          <w:szCs w:val="30"/>
          <w:lang w:val="en-US" w:eastAsia="zh-CN"/>
        </w:rPr>
        <w:t>数量（个）指引表</w:t>
      </w:r>
    </w:p>
    <w:tbl>
      <w:tblPr>
        <w:tblStyle w:val="16"/>
        <w:tblW w:w="90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28"/>
        <w:gridCol w:w="1146"/>
        <w:gridCol w:w="1479"/>
        <w:gridCol w:w="2792"/>
        <w:gridCol w:w="1333"/>
        <w:gridCol w:w="148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70" w:hRule="atLeast"/>
          <w:tblHeader/>
        </w:trPr>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Times New Roman" w:hAnsi="Times New Roman" w:eastAsia="仿宋_GB2312" w:cs="Times New Roman"/>
                <w:b/>
                <w:bCs/>
                <w:i w:val="0"/>
                <w:iCs w:val="0"/>
                <w:color w:val="000000"/>
                <w:sz w:val="30"/>
                <w:szCs w:val="30"/>
                <w:u w:val="none"/>
                <w:lang w:val="en-US" w:eastAsia="zh-CN"/>
              </w:rPr>
            </w:pPr>
            <w:r>
              <w:rPr>
                <w:rFonts w:hint="eastAsia" w:ascii="Times New Roman" w:hAnsi="Times New Roman" w:eastAsia="仿宋_GB2312" w:cs="Times New Roman"/>
                <w:b/>
                <w:bCs/>
                <w:i w:val="0"/>
                <w:iCs w:val="0"/>
                <w:color w:val="000000"/>
                <w:sz w:val="30"/>
                <w:szCs w:val="30"/>
                <w:u w:val="none"/>
                <w:lang w:val="en-US" w:eastAsia="zh-CN"/>
              </w:rPr>
              <w:t>序号</w:t>
            </w: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Times New Roman" w:hAnsi="Times New Roman" w:eastAsia="仿宋_GB2312" w:cs="Times New Roman"/>
                <w:b/>
                <w:bCs/>
                <w:i w:val="0"/>
                <w:iCs w:val="0"/>
                <w:color w:val="000000"/>
                <w:sz w:val="30"/>
                <w:szCs w:val="30"/>
                <w:u w:val="none"/>
                <w:lang w:val="en-US" w:eastAsia="zh-CN"/>
              </w:rPr>
            </w:pPr>
            <w:r>
              <w:rPr>
                <w:rFonts w:hint="eastAsia" w:ascii="Times New Roman" w:hAnsi="Times New Roman" w:eastAsia="仿宋_GB2312" w:cs="Times New Roman"/>
                <w:b/>
                <w:bCs/>
                <w:i w:val="0"/>
                <w:iCs w:val="0"/>
                <w:color w:val="000000"/>
                <w:sz w:val="30"/>
                <w:szCs w:val="30"/>
                <w:u w:val="none"/>
                <w:lang w:val="en-US" w:eastAsia="zh-CN"/>
              </w:rPr>
              <w:t>中转站</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Times New Roman" w:hAnsi="Times New Roman" w:eastAsia="仿宋_GB2312" w:cs="Times New Roman"/>
                <w:b/>
                <w:bCs/>
                <w:i w:val="0"/>
                <w:iCs w:val="0"/>
                <w:color w:val="000000"/>
                <w:sz w:val="30"/>
                <w:szCs w:val="30"/>
                <w:u w:val="none"/>
                <w:lang w:val="en-US" w:eastAsia="zh-CN"/>
              </w:rPr>
            </w:pPr>
            <w:r>
              <w:rPr>
                <w:rFonts w:hint="eastAsia" w:ascii="Times New Roman" w:hAnsi="Times New Roman" w:eastAsia="仿宋_GB2312" w:cs="Times New Roman"/>
                <w:b/>
                <w:bCs/>
                <w:i w:val="0"/>
                <w:iCs w:val="0"/>
                <w:color w:val="000000"/>
                <w:sz w:val="30"/>
                <w:szCs w:val="30"/>
                <w:u w:val="none"/>
                <w:lang w:val="en-US" w:eastAsia="zh-CN"/>
              </w:rPr>
              <w:t>村（社区）数（个）</w:t>
            </w:r>
          </w:p>
        </w:tc>
        <w:tc>
          <w:tcPr>
            <w:tcW w:w="2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Times New Roman" w:hAnsi="Times New Roman" w:eastAsia="仿宋_GB2312" w:cs="Times New Roman"/>
                <w:b/>
                <w:bCs/>
                <w:i w:val="0"/>
                <w:iCs w:val="0"/>
                <w:color w:val="000000"/>
                <w:sz w:val="30"/>
                <w:szCs w:val="30"/>
                <w:u w:val="none"/>
                <w:lang w:val="en-US" w:eastAsia="zh-CN"/>
              </w:rPr>
            </w:pPr>
            <w:r>
              <w:rPr>
                <w:rFonts w:hint="eastAsia" w:ascii="Times New Roman" w:hAnsi="Times New Roman" w:eastAsia="仿宋_GB2312" w:cs="Times New Roman"/>
                <w:b/>
                <w:bCs/>
                <w:i w:val="0"/>
                <w:iCs w:val="0"/>
                <w:color w:val="000000"/>
                <w:sz w:val="30"/>
                <w:szCs w:val="30"/>
                <w:u w:val="none"/>
                <w:lang w:val="en-US" w:eastAsia="zh-CN"/>
              </w:rPr>
              <w:t>服务村（社区）</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Times New Roman" w:hAnsi="Times New Roman" w:eastAsia="仿宋_GB2312" w:cs="Times New Roman"/>
                <w:b/>
                <w:bCs/>
                <w:i w:val="0"/>
                <w:iCs w:val="0"/>
                <w:color w:val="000000"/>
                <w:sz w:val="30"/>
                <w:szCs w:val="30"/>
                <w:u w:val="none"/>
                <w:lang w:val="en-US" w:eastAsia="zh-CN"/>
              </w:rPr>
            </w:pPr>
            <w:r>
              <w:rPr>
                <w:rFonts w:hint="eastAsia" w:ascii="Times New Roman" w:hAnsi="Times New Roman" w:eastAsia="仿宋_GB2312" w:cs="Times New Roman"/>
                <w:b/>
                <w:bCs/>
                <w:i w:val="0"/>
                <w:iCs w:val="0"/>
                <w:color w:val="000000"/>
                <w:sz w:val="30"/>
                <w:szCs w:val="30"/>
                <w:u w:val="none"/>
                <w:lang w:val="en-US" w:eastAsia="zh-CN"/>
              </w:rPr>
              <w:t>日产生量(吨)</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Times New Roman" w:hAnsi="Times New Roman" w:eastAsia="仿宋_GB2312" w:cs="Times New Roman"/>
                <w:b/>
                <w:bCs/>
                <w:i w:val="0"/>
                <w:iCs w:val="0"/>
                <w:color w:val="000000"/>
                <w:sz w:val="30"/>
                <w:szCs w:val="30"/>
                <w:u w:val="none"/>
                <w:lang w:val="en-US" w:eastAsia="zh-CN"/>
              </w:rPr>
            </w:pPr>
            <w:r>
              <w:rPr>
                <w:rFonts w:hint="eastAsia" w:ascii="Times New Roman" w:hAnsi="Times New Roman" w:eastAsia="仿宋_GB2312" w:cs="Times New Roman"/>
                <w:b/>
                <w:bCs/>
                <w:i w:val="0"/>
                <w:iCs w:val="0"/>
                <w:color w:val="000000"/>
                <w:sz w:val="30"/>
                <w:szCs w:val="30"/>
                <w:u w:val="none"/>
                <w:lang w:val="en-US" w:eastAsia="zh-CN"/>
              </w:rPr>
              <w:t>处理能力</w:t>
            </w:r>
          </w:p>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Times New Roman" w:hAnsi="Times New Roman" w:eastAsia="仿宋_GB2312" w:cs="Times New Roman"/>
                <w:b/>
                <w:bCs/>
                <w:i w:val="0"/>
                <w:iCs w:val="0"/>
                <w:color w:val="000000"/>
                <w:sz w:val="30"/>
                <w:szCs w:val="30"/>
                <w:u w:val="none"/>
                <w:lang w:val="en-US" w:eastAsia="zh-CN"/>
              </w:rPr>
            </w:pPr>
            <w:r>
              <w:rPr>
                <w:rFonts w:hint="eastAsia" w:ascii="Times New Roman" w:hAnsi="Times New Roman" w:eastAsia="仿宋_GB2312" w:cs="Times New Roman"/>
                <w:b/>
                <w:bCs/>
                <w:i w:val="0"/>
                <w:iCs w:val="0"/>
                <w:color w:val="000000"/>
                <w:sz w:val="30"/>
                <w:szCs w:val="30"/>
                <w:u w:val="none"/>
                <w:lang w:val="en-US" w:eastAsia="zh-CN"/>
              </w:rPr>
              <w:t>(吨/日)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Times New Roman" w:hAnsi="Times New Roman" w:eastAsia="仿宋_GB2312" w:cs="Times New Roman"/>
                <w:b w:val="0"/>
                <w:bCs w:val="0"/>
                <w:i w:val="0"/>
                <w:iCs w:val="0"/>
                <w:color w:val="000000"/>
                <w:sz w:val="30"/>
                <w:szCs w:val="30"/>
                <w:u w:val="none"/>
                <w:lang w:val="en-US" w:eastAsia="zh-CN"/>
              </w:rPr>
            </w:pPr>
            <w:r>
              <w:rPr>
                <w:rFonts w:hint="eastAsia" w:ascii="Times New Roman" w:hAnsi="Times New Roman" w:eastAsia="仿宋_GB2312" w:cs="Times New Roman"/>
                <w:b w:val="0"/>
                <w:bCs w:val="0"/>
                <w:i w:val="0"/>
                <w:iCs w:val="0"/>
                <w:color w:val="000000"/>
                <w:sz w:val="30"/>
                <w:szCs w:val="30"/>
                <w:u w:val="none"/>
                <w:lang w:val="en-US" w:eastAsia="zh-CN"/>
              </w:rPr>
              <w:t>1</w:t>
            </w: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Times New Roman" w:hAnsi="Times New Roman" w:eastAsia="仿宋_GB2312" w:cs="Times New Roman"/>
                <w:b w:val="0"/>
                <w:bCs w:val="0"/>
                <w:i w:val="0"/>
                <w:iCs w:val="0"/>
                <w:color w:val="000000"/>
                <w:sz w:val="30"/>
                <w:szCs w:val="30"/>
                <w:u w:val="none"/>
                <w:lang w:val="en-US" w:eastAsia="zh-CN"/>
              </w:rPr>
            </w:pPr>
            <w:r>
              <w:rPr>
                <w:rFonts w:hint="eastAsia" w:ascii="Times New Roman" w:hAnsi="Times New Roman" w:eastAsia="仿宋_GB2312" w:cs="Times New Roman"/>
                <w:b w:val="0"/>
                <w:bCs w:val="0"/>
                <w:i w:val="0"/>
                <w:iCs w:val="0"/>
                <w:color w:val="000000"/>
                <w:sz w:val="30"/>
                <w:szCs w:val="30"/>
                <w:u w:val="none"/>
                <w:lang w:val="en-US" w:eastAsia="zh-CN"/>
              </w:rPr>
              <w:t>南海中转站</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Times New Roman" w:hAnsi="Times New Roman" w:eastAsia="仿宋_GB2312" w:cs="Times New Roman"/>
                <w:b w:val="0"/>
                <w:bCs w:val="0"/>
                <w:i w:val="0"/>
                <w:iCs w:val="0"/>
                <w:color w:val="000000"/>
                <w:sz w:val="30"/>
                <w:szCs w:val="30"/>
                <w:u w:val="none"/>
                <w:lang w:val="en-US" w:eastAsia="zh-CN"/>
              </w:rPr>
            </w:pPr>
            <w:r>
              <w:rPr>
                <w:rFonts w:hint="eastAsia" w:ascii="Times New Roman" w:hAnsi="Times New Roman" w:eastAsia="仿宋_GB2312" w:cs="Times New Roman"/>
                <w:b w:val="0"/>
                <w:bCs w:val="0"/>
                <w:i w:val="0"/>
                <w:iCs w:val="0"/>
                <w:color w:val="000000"/>
                <w:sz w:val="30"/>
                <w:szCs w:val="30"/>
                <w:u w:val="none"/>
                <w:lang w:val="en-US" w:eastAsia="zh-CN"/>
              </w:rPr>
              <w:t>2</w:t>
            </w:r>
          </w:p>
        </w:tc>
        <w:tc>
          <w:tcPr>
            <w:tcW w:w="2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Times New Roman" w:hAnsi="Times New Roman" w:eastAsia="仿宋_GB2312" w:cs="Times New Roman"/>
                <w:b w:val="0"/>
                <w:bCs w:val="0"/>
                <w:i w:val="0"/>
                <w:iCs w:val="0"/>
                <w:color w:val="000000"/>
                <w:sz w:val="30"/>
                <w:szCs w:val="30"/>
                <w:u w:val="none"/>
                <w:lang w:val="en-US" w:eastAsia="zh-CN"/>
              </w:rPr>
            </w:pPr>
            <w:r>
              <w:rPr>
                <w:rFonts w:hint="eastAsia" w:ascii="Times New Roman" w:hAnsi="Times New Roman" w:eastAsia="仿宋_GB2312" w:cs="Times New Roman"/>
                <w:b w:val="0"/>
                <w:bCs w:val="0"/>
                <w:i w:val="0"/>
                <w:iCs w:val="0"/>
                <w:color w:val="000000"/>
                <w:sz w:val="30"/>
                <w:szCs w:val="30"/>
                <w:u w:val="none"/>
                <w:lang w:val="en-US" w:eastAsia="zh-CN"/>
              </w:rPr>
              <w:t>南海社区、榆港社区</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sz w:val="30"/>
                <w:szCs w:val="30"/>
                <w:u w:val="none"/>
                <w:lang w:val="en-US" w:eastAsia="zh-CN"/>
              </w:rPr>
              <w:t>8.57</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sz w:val="30"/>
                <w:szCs w:val="30"/>
                <w:u w:val="none"/>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Times New Roman" w:hAnsi="Times New Roman" w:eastAsia="仿宋_GB2312" w:cs="Times New Roman"/>
                <w:b w:val="0"/>
                <w:bCs w:val="0"/>
                <w:i w:val="0"/>
                <w:iCs w:val="0"/>
                <w:color w:val="000000"/>
                <w:sz w:val="30"/>
                <w:szCs w:val="30"/>
                <w:u w:val="none"/>
                <w:lang w:val="en-US" w:eastAsia="zh-CN"/>
              </w:rPr>
            </w:pPr>
            <w:r>
              <w:rPr>
                <w:rFonts w:hint="eastAsia" w:ascii="Times New Roman" w:hAnsi="Times New Roman" w:eastAsia="仿宋_GB2312" w:cs="Times New Roman"/>
                <w:b w:val="0"/>
                <w:bCs w:val="0"/>
                <w:i w:val="0"/>
                <w:iCs w:val="0"/>
                <w:color w:val="000000"/>
                <w:sz w:val="30"/>
                <w:szCs w:val="30"/>
                <w:u w:val="none"/>
                <w:lang w:val="en-US" w:eastAsia="zh-CN"/>
              </w:rPr>
              <w:t>2</w:t>
            </w: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Times New Roman" w:hAnsi="Times New Roman" w:eastAsia="仿宋_GB2312" w:cs="Times New Roman"/>
                <w:b w:val="0"/>
                <w:bCs w:val="0"/>
                <w:i w:val="0"/>
                <w:iCs w:val="0"/>
                <w:color w:val="000000"/>
                <w:sz w:val="30"/>
                <w:szCs w:val="30"/>
                <w:u w:val="none"/>
                <w:lang w:val="en-US" w:eastAsia="zh-CN"/>
              </w:rPr>
            </w:pPr>
            <w:r>
              <w:rPr>
                <w:rFonts w:hint="eastAsia" w:ascii="Times New Roman" w:hAnsi="Times New Roman" w:eastAsia="仿宋_GB2312" w:cs="Times New Roman"/>
                <w:b w:val="0"/>
                <w:bCs w:val="0"/>
                <w:i w:val="0"/>
                <w:iCs w:val="0"/>
                <w:color w:val="000000"/>
                <w:sz w:val="30"/>
                <w:szCs w:val="30"/>
                <w:u w:val="none"/>
                <w:lang w:val="en-US" w:eastAsia="zh-CN"/>
              </w:rPr>
              <w:t>解放路中转站</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Times New Roman" w:hAnsi="Times New Roman" w:eastAsia="仿宋_GB2312" w:cs="Times New Roman"/>
                <w:b w:val="0"/>
                <w:bCs w:val="0"/>
                <w:i w:val="0"/>
                <w:iCs w:val="0"/>
                <w:color w:val="000000"/>
                <w:sz w:val="30"/>
                <w:szCs w:val="30"/>
                <w:u w:val="none"/>
                <w:lang w:val="en-US" w:eastAsia="zh-CN"/>
              </w:rPr>
            </w:pPr>
            <w:r>
              <w:rPr>
                <w:rFonts w:hint="eastAsia" w:ascii="Times New Roman" w:hAnsi="Times New Roman" w:eastAsia="仿宋_GB2312" w:cs="Times New Roman"/>
                <w:b w:val="0"/>
                <w:bCs w:val="0"/>
                <w:i w:val="0"/>
                <w:iCs w:val="0"/>
                <w:color w:val="000000"/>
                <w:sz w:val="30"/>
                <w:szCs w:val="30"/>
                <w:u w:val="none"/>
                <w:lang w:val="en-US" w:eastAsia="zh-CN"/>
              </w:rPr>
              <w:t>4</w:t>
            </w:r>
          </w:p>
        </w:tc>
        <w:tc>
          <w:tcPr>
            <w:tcW w:w="2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Times New Roman" w:hAnsi="Times New Roman" w:eastAsia="仿宋_GB2312" w:cs="Times New Roman"/>
                <w:b w:val="0"/>
                <w:bCs w:val="0"/>
                <w:i w:val="0"/>
                <w:iCs w:val="0"/>
                <w:color w:val="000000"/>
                <w:sz w:val="30"/>
                <w:szCs w:val="30"/>
                <w:u w:val="none"/>
                <w:lang w:val="en-US" w:eastAsia="zh-CN"/>
              </w:rPr>
            </w:pPr>
            <w:r>
              <w:rPr>
                <w:rFonts w:hint="eastAsia" w:ascii="Times New Roman" w:hAnsi="Times New Roman" w:eastAsia="仿宋_GB2312" w:cs="Times New Roman"/>
                <w:b w:val="0"/>
                <w:bCs w:val="0"/>
                <w:i w:val="0"/>
                <w:iCs w:val="0"/>
                <w:color w:val="000000"/>
                <w:sz w:val="30"/>
                <w:szCs w:val="30"/>
                <w:u w:val="none"/>
                <w:lang w:val="en-US" w:eastAsia="zh-CN"/>
              </w:rPr>
              <w:t>新建社区、和平社区、建设街社区、红旗街社区</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sz w:val="30"/>
                <w:szCs w:val="30"/>
                <w:u w:val="none"/>
                <w:lang w:val="en-US" w:eastAsia="zh-CN"/>
              </w:rPr>
              <w:t>14.85</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sz w:val="30"/>
                <w:szCs w:val="30"/>
                <w:u w:val="none"/>
                <w:lang w:val="en-US" w:eastAsia="zh-CN"/>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Times New Roman" w:hAnsi="Times New Roman" w:eastAsia="仿宋_GB2312" w:cs="Times New Roman"/>
                <w:b w:val="0"/>
                <w:bCs w:val="0"/>
                <w:i w:val="0"/>
                <w:iCs w:val="0"/>
                <w:color w:val="000000"/>
                <w:sz w:val="30"/>
                <w:szCs w:val="30"/>
                <w:u w:val="none"/>
                <w:lang w:val="en-US" w:eastAsia="zh-CN"/>
              </w:rPr>
            </w:pPr>
            <w:r>
              <w:rPr>
                <w:rFonts w:hint="eastAsia" w:ascii="Times New Roman" w:hAnsi="Times New Roman" w:eastAsia="仿宋_GB2312" w:cs="Times New Roman"/>
                <w:b w:val="0"/>
                <w:bCs w:val="0"/>
                <w:i w:val="0"/>
                <w:iCs w:val="0"/>
                <w:color w:val="000000"/>
                <w:sz w:val="30"/>
                <w:szCs w:val="30"/>
                <w:u w:val="none"/>
                <w:lang w:val="en-US" w:eastAsia="zh-CN"/>
              </w:rPr>
              <w:t>3</w:t>
            </w: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Times New Roman" w:hAnsi="Times New Roman" w:eastAsia="仿宋_GB2312" w:cs="Times New Roman"/>
                <w:b w:val="0"/>
                <w:bCs w:val="0"/>
                <w:i w:val="0"/>
                <w:iCs w:val="0"/>
                <w:color w:val="000000"/>
                <w:sz w:val="30"/>
                <w:szCs w:val="30"/>
                <w:u w:val="none"/>
                <w:lang w:val="en-US" w:eastAsia="zh-CN"/>
              </w:rPr>
            </w:pPr>
            <w:r>
              <w:rPr>
                <w:rFonts w:hint="eastAsia" w:ascii="Times New Roman" w:hAnsi="Times New Roman" w:eastAsia="仿宋_GB2312" w:cs="Times New Roman"/>
                <w:b w:val="0"/>
                <w:bCs w:val="0"/>
                <w:i w:val="0"/>
                <w:iCs w:val="0"/>
                <w:color w:val="000000"/>
                <w:sz w:val="30"/>
                <w:szCs w:val="30"/>
                <w:u w:val="none"/>
                <w:lang w:val="en-US" w:eastAsia="zh-CN"/>
              </w:rPr>
              <w:t>春园中转站</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Times New Roman" w:hAnsi="Times New Roman" w:eastAsia="仿宋_GB2312" w:cs="Times New Roman"/>
                <w:b w:val="0"/>
                <w:bCs w:val="0"/>
                <w:i w:val="0"/>
                <w:iCs w:val="0"/>
                <w:color w:val="000000"/>
                <w:sz w:val="30"/>
                <w:szCs w:val="30"/>
                <w:u w:val="none"/>
                <w:lang w:val="en-US" w:eastAsia="zh-CN"/>
              </w:rPr>
            </w:pPr>
            <w:r>
              <w:rPr>
                <w:rFonts w:hint="eastAsia" w:ascii="Times New Roman" w:hAnsi="Times New Roman" w:eastAsia="仿宋_GB2312" w:cs="Times New Roman"/>
                <w:b w:val="0"/>
                <w:bCs w:val="0"/>
                <w:i w:val="0"/>
                <w:iCs w:val="0"/>
                <w:color w:val="000000"/>
                <w:sz w:val="30"/>
                <w:szCs w:val="30"/>
                <w:u w:val="none"/>
                <w:lang w:val="en-US" w:eastAsia="zh-CN"/>
              </w:rPr>
              <w:t>4</w:t>
            </w:r>
          </w:p>
        </w:tc>
        <w:tc>
          <w:tcPr>
            <w:tcW w:w="2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Times New Roman" w:hAnsi="Times New Roman" w:eastAsia="仿宋_GB2312" w:cs="Times New Roman"/>
                <w:b w:val="0"/>
                <w:bCs w:val="0"/>
                <w:i w:val="0"/>
                <w:iCs w:val="0"/>
                <w:color w:val="000000"/>
                <w:sz w:val="30"/>
                <w:szCs w:val="30"/>
                <w:u w:val="none"/>
                <w:lang w:val="en-US" w:eastAsia="zh-CN"/>
              </w:rPr>
            </w:pPr>
            <w:r>
              <w:rPr>
                <w:rFonts w:hint="eastAsia" w:ascii="Times New Roman" w:hAnsi="Times New Roman" w:eastAsia="仿宋_GB2312" w:cs="Times New Roman"/>
                <w:b w:val="0"/>
                <w:bCs w:val="0"/>
                <w:i w:val="0"/>
                <w:iCs w:val="0"/>
                <w:color w:val="000000"/>
                <w:sz w:val="30"/>
                <w:szCs w:val="30"/>
                <w:u w:val="none"/>
                <w:lang w:val="en-US" w:eastAsia="zh-CN"/>
              </w:rPr>
              <w:t>群众街社区、光明社区、儋州村社区、春园社区</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sz w:val="30"/>
                <w:szCs w:val="30"/>
                <w:u w:val="none"/>
                <w:lang w:val="en-US" w:eastAsia="zh-CN"/>
              </w:rPr>
              <w:t>14.60</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sz w:val="30"/>
                <w:szCs w:val="30"/>
                <w:u w:val="none"/>
                <w:lang w:val="en-US" w:eastAsia="zh-CN"/>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Times New Roman" w:hAnsi="Times New Roman" w:eastAsia="仿宋_GB2312" w:cs="Times New Roman"/>
                <w:b w:val="0"/>
                <w:bCs w:val="0"/>
                <w:i w:val="0"/>
                <w:iCs w:val="0"/>
                <w:color w:val="000000"/>
                <w:sz w:val="30"/>
                <w:szCs w:val="30"/>
                <w:u w:val="none"/>
                <w:lang w:val="en-US" w:eastAsia="zh-CN"/>
              </w:rPr>
            </w:pPr>
            <w:r>
              <w:rPr>
                <w:rFonts w:hint="eastAsia" w:ascii="Times New Roman" w:hAnsi="Times New Roman" w:eastAsia="仿宋_GB2312" w:cs="Times New Roman"/>
                <w:b w:val="0"/>
                <w:bCs w:val="0"/>
                <w:i w:val="0"/>
                <w:iCs w:val="0"/>
                <w:color w:val="000000"/>
                <w:sz w:val="30"/>
                <w:szCs w:val="30"/>
                <w:u w:val="none"/>
                <w:lang w:val="en-US" w:eastAsia="zh-CN"/>
              </w:rPr>
              <w:t>4</w:t>
            </w: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Times New Roman" w:hAnsi="Times New Roman" w:eastAsia="仿宋_GB2312" w:cs="Times New Roman"/>
                <w:b w:val="0"/>
                <w:bCs w:val="0"/>
                <w:i w:val="0"/>
                <w:iCs w:val="0"/>
                <w:color w:val="000000"/>
                <w:sz w:val="30"/>
                <w:szCs w:val="30"/>
                <w:u w:val="none"/>
                <w:lang w:val="en-US" w:eastAsia="zh-CN"/>
              </w:rPr>
            </w:pPr>
            <w:r>
              <w:rPr>
                <w:rFonts w:hint="eastAsia" w:ascii="Times New Roman" w:hAnsi="Times New Roman" w:eastAsia="仿宋_GB2312" w:cs="Times New Roman"/>
                <w:b w:val="0"/>
                <w:bCs w:val="0"/>
                <w:i w:val="0"/>
                <w:iCs w:val="0"/>
                <w:color w:val="000000"/>
                <w:sz w:val="30"/>
                <w:szCs w:val="30"/>
                <w:u w:val="none"/>
                <w:lang w:val="en-US" w:eastAsia="zh-CN"/>
              </w:rPr>
              <w:t>友谊中转站</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Times New Roman" w:hAnsi="Times New Roman" w:eastAsia="仿宋_GB2312" w:cs="Times New Roman"/>
                <w:b w:val="0"/>
                <w:bCs w:val="0"/>
                <w:i w:val="0"/>
                <w:iCs w:val="0"/>
                <w:color w:val="000000"/>
                <w:sz w:val="30"/>
                <w:szCs w:val="30"/>
                <w:u w:val="none"/>
                <w:lang w:val="en-US" w:eastAsia="zh-CN"/>
              </w:rPr>
            </w:pPr>
            <w:r>
              <w:rPr>
                <w:rFonts w:hint="eastAsia" w:ascii="Times New Roman" w:hAnsi="Times New Roman" w:eastAsia="仿宋_GB2312" w:cs="Times New Roman"/>
                <w:b w:val="0"/>
                <w:bCs w:val="0"/>
                <w:i w:val="0"/>
                <w:iCs w:val="0"/>
                <w:color w:val="000000"/>
                <w:sz w:val="30"/>
                <w:szCs w:val="30"/>
                <w:u w:val="none"/>
                <w:lang w:val="en-US" w:eastAsia="zh-CN"/>
              </w:rPr>
              <w:t>4</w:t>
            </w:r>
          </w:p>
        </w:tc>
        <w:tc>
          <w:tcPr>
            <w:tcW w:w="2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Times New Roman" w:hAnsi="Times New Roman" w:eastAsia="仿宋_GB2312" w:cs="Times New Roman"/>
                <w:b w:val="0"/>
                <w:bCs w:val="0"/>
                <w:i w:val="0"/>
                <w:iCs w:val="0"/>
                <w:color w:val="000000"/>
                <w:sz w:val="30"/>
                <w:szCs w:val="30"/>
                <w:u w:val="none"/>
                <w:lang w:val="en-US" w:eastAsia="zh-CN"/>
              </w:rPr>
            </w:pPr>
            <w:r>
              <w:rPr>
                <w:rFonts w:hint="eastAsia" w:ascii="Times New Roman" w:hAnsi="Times New Roman" w:eastAsia="仿宋_GB2312" w:cs="Times New Roman"/>
                <w:b w:val="0"/>
                <w:bCs w:val="0"/>
                <w:i w:val="0"/>
                <w:iCs w:val="0"/>
                <w:color w:val="000000"/>
                <w:sz w:val="30"/>
                <w:szCs w:val="30"/>
                <w:u w:val="none"/>
                <w:lang w:val="en-US" w:eastAsia="zh-CN"/>
              </w:rPr>
              <w:t>朝阳社区、友谊社区、机场路社区、场站社区</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sz w:val="30"/>
                <w:szCs w:val="30"/>
                <w:u w:val="none"/>
                <w:lang w:val="en-US" w:eastAsia="zh-CN"/>
              </w:rPr>
              <w:t>14.31</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sz w:val="30"/>
                <w:szCs w:val="30"/>
                <w:u w:val="none"/>
                <w:lang w:val="en-US" w:eastAsia="zh-CN"/>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Times New Roman" w:hAnsi="Times New Roman" w:eastAsia="仿宋_GB2312" w:cs="Times New Roman"/>
                <w:b w:val="0"/>
                <w:bCs w:val="0"/>
                <w:i w:val="0"/>
                <w:iCs w:val="0"/>
                <w:color w:val="000000"/>
                <w:sz w:val="30"/>
                <w:szCs w:val="30"/>
                <w:u w:val="none"/>
                <w:lang w:val="en-US" w:eastAsia="zh-CN"/>
              </w:rPr>
            </w:pPr>
            <w:r>
              <w:rPr>
                <w:rFonts w:hint="eastAsia" w:ascii="Times New Roman" w:hAnsi="Times New Roman" w:eastAsia="仿宋_GB2312" w:cs="Times New Roman"/>
                <w:b w:val="0"/>
                <w:bCs w:val="0"/>
                <w:i w:val="0"/>
                <w:iCs w:val="0"/>
                <w:color w:val="000000"/>
                <w:sz w:val="30"/>
                <w:szCs w:val="30"/>
                <w:u w:val="none"/>
                <w:lang w:val="en-US" w:eastAsia="zh-CN"/>
              </w:rPr>
              <w:t>5</w:t>
            </w: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Times New Roman" w:hAnsi="Times New Roman" w:eastAsia="仿宋_GB2312" w:cs="Times New Roman"/>
                <w:b w:val="0"/>
                <w:bCs w:val="0"/>
                <w:i w:val="0"/>
                <w:iCs w:val="0"/>
                <w:color w:val="000000"/>
                <w:sz w:val="30"/>
                <w:szCs w:val="30"/>
                <w:u w:val="none"/>
                <w:lang w:val="en-US" w:eastAsia="zh-CN"/>
              </w:rPr>
            </w:pPr>
            <w:r>
              <w:rPr>
                <w:rFonts w:hint="eastAsia" w:ascii="Times New Roman" w:hAnsi="Times New Roman" w:eastAsia="仿宋_GB2312" w:cs="Times New Roman"/>
                <w:b w:val="0"/>
                <w:bCs w:val="0"/>
                <w:i w:val="0"/>
                <w:iCs w:val="0"/>
                <w:color w:val="000000"/>
                <w:sz w:val="30"/>
                <w:szCs w:val="30"/>
                <w:u w:val="none"/>
                <w:lang w:val="en-US" w:eastAsia="zh-CN"/>
              </w:rPr>
              <w:t>鸭仔塘中转站</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Times New Roman" w:hAnsi="Times New Roman" w:eastAsia="仿宋_GB2312" w:cs="Times New Roman"/>
                <w:b w:val="0"/>
                <w:bCs w:val="0"/>
                <w:i w:val="0"/>
                <w:iCs w:val="0"/>
                <w:color w:val="000000"/>
                <w:sz w:val="30"/>
                <w:szCs w:val="30"/>
                <w:u w:val="none"/>
                <w:lang w:val="en-US" w:eastAsia="zh-CN"/>
              </w:rPr>
            </w:pPr>
            <w:r>
              <w:rPr>
                <w:rFonts w:hint="eastAsia" w:ascii="Times New Roman" w:hAnsi="Times New Roman" w:eastAsia="仿宋_GB2312" w:cs="Times New Roman"/>
                <w:b w:val="0"/>
                <w:bCs w:val="0"/>
                <w:i w:val="0"/>
                <w:iCs w:val="0"/>
                <w:color w:val="000000"/>
                <w:sz w:val="30"/>
                <w:szCs w:val="30"/>
                <w:u w:val="none"/>
                <w:lang w:val="en-US" w:eastAsia="zh-CN"/>
              </w:rPr>
              <w:t>4</w:t>
            </w:r>
          </w:p>
        </w:tc>
        <w:tc>
          <w:tcPr>
            <w:tcW w:w="2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Times New Roman" w:hAnsi="Times New Roman" w:eastAsia="仿宋_GB2312" w:cs="Times New Roman"/>
                <w:b w:val="0"/>
                <w:bCs w:val="0"/>
                <w:i w:val="0"/>
                <w:iCs w:val="0"/>
                <w:color w:val="000000"/>
                <w:sz w:val="30"/>
                <w:szCs w:val="30"/>
                <w:u w:val="none"/>
                <w:lang w:val="en-US" w:eastAsia="zh-CN"/>
              </w:rPr>
            </w:pPr>
            <w:r>
              <w:rPr>
                <w:rFonts w:hint="eastAsia" w:ascii="Times New Roman" w:hAnsi="Times New Roman" w:eastAsia="仿宋_GB2312" w:cs="Times New Roman"/>
                <w:b w:val="0"/>
                <w:bCs w:val="0"/>
                <w:i w:val="0"/>
                <w:iCs w:val="0"/>
                <w:color w:val="000000"/>
                <w:sz w:val="30"/>
                <w:szCs w:val="30"/>
                <w:u w:val="none"/>
                <w:lang w:val="en-US" w:eastAsia="zh-CN"/>
              </w:rPr>
              <w:t>金鸡岭、岭北、鸭仔塘社区、育春路社区</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sz w:val="30"/>
                <w:szCs w:val="30"/>
                <w:u w:val="none"/>
                <w:lang w:val="en-US" w:eastAsia="zh-CN"/>
              </w:rPr>
              <w:t>14.96</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sz w:val="30"/>
                <w:szCs w:val="30"/>
                <w:u w:val="none"/>
                <w:lang w:val="en-US" w:eastAsia="zh-CN"/>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Times New Roman" w:hAnsi="Times New Roman" w:eastAsia="仿宋_GB2312" w:cs="Times New Roman"/>
                <w:b w:val="0"/>
                <w:bCs w:val="0"/>
                <w:i w:val="0"/>
                <w:iCs w:val="0"/>
                <w:color w:val="000000"/>
                <w:sz w:val="30"/>
                <w:szCs w:val="30"/>
                <w:u w:val="none"/>
                <w:lang w:val="en-US" w:eastAsia="zh-CN"/>
              </w:rPr>
            </w:pPr>
            <w:r>
              <w:rPr>
                <w:rFonts w:hint="eastAsia" w:ascii="Times New Roman" w:hAnsi="Times New Roman" w:eastAsia="仿宋_GB2312" w:cs="Times New Roman"/>
                <w:b w:val="0"/>
                <w:bCs w:val="0"/>
                <w:i w:val="0"/>
                <w:iCs w:val="0"/>
                <w:color w:val="000000"/>
                <w:sz w:val="30"/>
                <w:szCs w:val="30"/>
                <w:u w:val="none"/>
                <w:lang w:val="en-US" w:eastAsia="zh-CN"/>
              </w:rPr>
              <w:t>6</w:t>
            </w: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Times New Roman" w:hAnsi="Times New Roman" w:eastAsia="仿宋_GB2312" w:cs="Times New Roman"/>
                <w:b w:val="0"/>
                <w:bCs w:val="0"/>
                <w:i w:val="0"/>
                <w:iCs w:val="0"/>
                <w:color w:val="000000"/>
                <w:sz w:val="30"/>
                <w:szCs w:val="30"/>
                <w:u w:val="none"/>
                <w:lang w:val="en-US" w:eastAsia="zh-CN"/>
              </w:rPr>
            </w:pPr>
            <w:r>
              <w:rPr>
                <w:rFonts w:hint="eastAsia" w:ascii="Times New Roman" w:hAnsi="Times New Roman" w:eastAsia="仿宋_GB2312" w:cs="Times New Roman"/>
                <w:b w:val="0"/>
                <w:bCs w:val="0"/>
                <w:i w:val="0"/>
                <w:iCs w:val="0"/>
                <w:color w:val="000000"/>
                <w:sz w:val="30"/>
                <w:szCs w:val="30"/>
                <w:u w:val="none"/>
                <w:lang w:val="en-US" w:eastAsia="zh-CN"/>
              </w:rPr>
              <w:t>三亚湾中转站</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Times New Roman" w:hAnsi="Times New Roman" w:eastAsia="仿宋_GB2312" w:cs="Times New Roman"/>
                <w:b w:val="0"/>
                <w:bCs w:val="0"/>
                <w:i w:val="0"/>
                <w:iCs w:val="0"/>
                <w:color w:val="000000"/>
                <w:sz w:val="30"/>
                <w:szCs w:val="30"/>
                <w:u w:val="none"/>
                <w:lang w:val="en-US" w:eastAsia="zh-CN"/>
              </w:rPr>
            </w:pPr>
            <w:r>
              <w:rPr>
                <w:rFonts w:hint="eastAsia" w:ascii="Times New Roman" w:hAnsi="Times New Roman" w:eastAsia="仿宋_GB2312" w:cs="Times New Roman"/>
                <w:b w:val="0"/>
                <w:bCs w:val="0"/>
                <w:i w:val="0"/>
                <w:iCs w:val="0"/>
                <w:color w:val="000000"/>
                <w:sz w:val="30"/>
                <w:szCs w:val="30"/>
                <w:u w:val="none"/>
                <w:lang w:val="en-US" w:eastAsia="zh-CN"/>
              </w:rPr>
              <w:t>2</w:t>
            </w:r>
          </w:p>
        </w:tc>
        <w:tc>
          <w:tcPr>
            <w:tcW w:w="2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Times New Roman" w:hAnsi="Times New Roman" w:eastAsia="仿宋_GB2312" w:cs="Times New Roman"/>
                <w:b w:val="0"/>
                <w:bCs w:val="0"/>
                <w:i w:val="0"/>
                <w:iCs w:val="0"/>
                <w:color w:val="000000"/>
                <w:sz w:val="30"/>
                <w:szCs w:val="30"/>
                <w:u w:val="none"/>
                <w:lang w:val="en-US" w:eastAsia="zh-CN"/>
              </w:rPr>
            </w:pPr>
            <w:r>
              <w:rPr>
                <w:rFonts w:hint="eastAsia" w:ascii="Times New Roman" w:hAnsi="Times New Roman" w:eastAsia="仿宋_GB2312" w:cs="Times New Roman"/>
                <w:b w:val="0"/>
                <w:bCs w:val="0"/>
                <w:i w:val="0"/>
                <w:iCs w:val="0"/>
                <w:color w:val="000000"/>
                <w:sz w:val="30"/>
                <w:szCs w:val="30"/>
                <w:u w:val="none"/>
                <w:lang w:val="en-US" w:eastAsia="zh-CN"/>
              </w:rPr>
              <w:t>三亚湾、回新</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sz w:val="30"/>
                <w:szCs w:val="30"/>
                <w:u w:val="none"/>
                <w:lang w:val="en-US" w:eastAsia="zh-CN"/>
              </w:rPr>
              <w:t>12.83</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sz w:val="30"/>
                <w:szCs w:val="30"/>
                <w:u w:val="none"/>
                <w:lang w:val="en-US" w:eastAsia="zh-CN"/>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Times New Roman" w:hAnsi="Times New Roman" w:eastAsia="仿宋_GB2312" w:cs="Times New Roman"/>
                <w:b w:val="0"/>
                <w:bCs w:val="0"/>
                <w:i w:val="0"/>
                <w:iCs w:val="0"/>
                <w:color w:val="000000"/>
                <w:sz w:val="30"/>
                <w:szCs w:val="30"/>
                <w:u w:val="none"/>
                <w:lang w:val="en-US" w:eastAsia="zh-CN"/>
              </w:rPr>
            </w:pPr>
            <w:r>
              <w:rPr>
                <w:rFonts w:hint="eastAsia" w:ascii="Times New Roman" w:hAnsi="Times New Roman" w:eastAsia="仿宋_GB2312" w:cs="Times New Roman"/>
                <w:b w:val="0"/>
                <w:bCs w:val="0"/>
                <w:i w:val="0"/>
                <w:iCs w:val="0"/>
                <w:color w:val="000000"/>
                <w:sz w:val="30"/>
                <w:szCs w:val="30"/>
                <w:u w:val="none"/>
                <w:lang w:val="en-US" w:eastAsia="zh-CN"/>
              </w:rPr>
              <w:t>7</w:t>
            </w: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Times New Roman" w:hAnsi="Times New Roman" w:eastAsia="仿宋_GB2312" w:cs="Times New Roman"/>
                <w:b w:val="0"/>
                <w:bCs w:val="0"/>
                <w:i w:val="0"/>
                <w:iCs w:val="0"/>
                <w:color w:val="000000"/>
                <w:sz w:val="30"/>
                <w:szCs w:val="30"/>
                <w:u w:val="none"/>
                <w:lang w:val="en-US" w:eastAsia="zh-CN"/>
              </w:rPr>
            </w:pPr>
            <w:r>
              <w:rPr>
                <w:rFonts w:hint="eastAsia" w:ascii="Times New Roman" w:hAnsi="Times New Roman" w:eastAsia="仿宋_GB2312" w:cs="Times New Roman"/>
                <w:b w:val="0"/>
                <w:bCs w:val="0"/>
                <w:i w:val="0"/>
                <w:iCs w:val="0"/>
                <w:color w:val="000000"/>
                <w:sz w:val="30"/>
                <w:szCs w:val="30"/>
                <w:u w:val="none"/>
                <w:lang w:val="en-US" w:eastAsia="zh-CN"/>
              </w:rPr>
              <w:t>桶井中转站</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Times New Roman" w:hAnsi="Times New Roman" w:eastAsia="仿宋_GB2312" w:cs="Times New Roman"/>
                <w:b w:val="0"/>
                <w:bCs w:val="0"/>
                <w:i w:val="0"/>
                <w:iCs w:val="0"/>
                <w:color w:val="000000"/>
                <w:sz w:val="30"/>
                <w:szCs w:val="30"/>
                <w:u w:val="none"/>
                <w:lang w:val="en-US" w:eastAsia="zh-CN"/>
              </w:rPr>
            </w:pPr>
            <w:r>
              <w:rPr>
                <w:rFonts w:hint="eastAsia" w:ascii="Times New Roman" w:hAnsi="Times New Roman" w:eastAsia="仿宋_GB2312" w:cs="Times New Roman"/>
                <w:b w:val="0"/>
                <w:bCs w:val="0"/>
                <w:i w:val="0"/>
                <w:iCs w:val="0"/>
                <w:color w:val="000000"/>
                <w:sz w:val="30"/>
                <w:szCs w:val="30"/>
                <w:u w:val="none"/>
                <w:lang w:val="en-US" w:eastAsia="zh-CN"/>
              </w:rPr>
              <w:t>4</w:t>
            </w:r>
          </w:p>
        </w:tc>
        <w:tc>
          <w:tcPr>
            <w:tcW w:w="2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Times New Roman" w:hAnsi="Times New Roman" w:eastAsia="仿宋_GB2312" w:cs="Times New Roman"/>
                <w:b w:val="0"/>
                <w:bCs w:val="0"/>
                <w:i w:val="0"/>
                <w:iCs w:val="0"/>
                <w:color w:val="000000"/>
                <w:sz w:val="30"/>
                <w:szCs w:val="30"/>
                <w:u w:val="none"/>
                <w:lang w:val="en-US" w:eastAsia="zh-CN"/>
              </w:rPr>
            </w:pPr>
            <w:r>
              <w:rPr>
                <w:rFonts w:hint="eastAsia" w:ascii="Times New Roman" w:hAnsi="Times New Roman" w:eastAsia="仿宋_GB2312" w:cs="Times New Roman"/>
                <w:b w:val="0"/>
                <w:bCs w:val="0"/>
                <w:i w:val="0"/>
                <w:iCs w:val="0"/>
                <w:color w:val="000000"/>
                <w:sz w:val="30"/>
                <w:szCs w:val="30"/>
                <w:u w:val="none"/>
                <w:lang w:val="en-US" w:eastAsia="zh-CN"/>
              </w:rPr>
              <w:t>桶井、桃源、西岛、梅村</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sz w:val="30"/>
                <w:szCs w:val="30"/>
                <w:u w:val="none"/>
                <w:lang w:val="en-US" w:eastAsia="zh-CN"/>
              </w:rPr>
              <w:t>11.54</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sz w:val="30"/>
                <w:szCs w:val="30"/>
                <w:u w:val="none"/>
                <w:lang w:val="en-US" w:eastAsia="zh-CN"/>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Times New Roman" w:hAnsi="Times New Roman" w:eastAsia="仿宋_GB2312" w:cs="Times New Roman"/>
                <w:b w:val="0"/>
                <w:bCs w:val="0"/>
                <w:i w:val="0"/>
                <w:iCs w:val="0"/>
                <w:color w:val="000000"/>
                <w:sz w:val="30"/>
                <w:szCs w:val="30"/>
                <w:u w:val="none"/>
                <w:lang w:val="en-US" w:eastAsia="zh-CN"/>
              </w:rPr>
            </w:pPr>
            <w:r>
              <w:rPr>
                <w:rFonts w:hint="eastAsia" w:ascii="Times New Roman" w:hAnsi="Times New Roman" w:eastAsia="仿宋_GB2312" w:cs="Times New Roman"/>
                <w:b w:val="0"/>
                <w:bCs w:val="0"/>
                <w:i w:val="0"/>
                <w:iCs w:val="0"/>
                <w:color w:val="000000"/>
                <w:sz w:val="30"/>
                <w:szCs w:val="30"/>
                <w:u w:val="none"/>
                <w:lang w:val="en-US" w:eastAsia="zh-CN"/>
              </w:rPr>
              <w:t>8</w:t>
            </w: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Times New Roman" w:hAnsi="Times New Roman" w:eastAsia="仿宋_GB2312" w:cs="Times New Roman"/>
                <w:b w:val="0"/>
                <w:bCs w:val="0"/>
                <w:i w:val="0"/>
                <w:iCs w:val="0"/>
                <w:color w:val="000000"/>
                <w:sz w:val="30"/>
                <w:szCs w:val="30"/>
                <w:u w:val="none"/>
                <w:lang w:val="en-US" w:eastAsia="zh-CN"/>
              </w:rPr>
            </w:pPr>
            <w:r>
              <w:rPr>
                <w:rFonts w:hint="eastAsia" w:ascii="Times New Roman" w:hAnsi="Times New Roman" w:eastAsia="仿宋_GB2312" w:cs="Times New Roman"/>
                <w:b w:val="0"/>
                <w:bCs w:val="0"/>
                <w:i w:val="0"/>
                <w:iCs w:val="0"/>
                <w:color w:val="000000"/>
                <w:sz w:val="30"/>
                <w:szCs w:val="30"/>
                <w:u w:val="none"/>
                <w:lang w:val="en-US" w:eastAsia="zh-CN"/>
              </w:rPr>
              <w:t>凤凰中转站</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Times New Roman" w:hAnsi="Times New Roman" w:eastAsia="仿宋_GB2312" w:cs="Times New Roman"/>
                <w:b w:val="0"/>
                <w:bCs w:val="0"/>
                <w:i w:val="0"/>
                <w:iCs w:val="0"/>
                <w:color w:val="000000"/>
                <w:sz w:val="30"/>
                <w:szCs w:val="30"/>
                <w:u w:val="none"/>
                <w:lang w:val="en-US" w:eastAsia="zh-CN"/>
              </w:rPr>
            </w:pPr>
            <w:r>
              <w:rPr>
                <w:rFonts w:hint="eastAsia" w:ascii="Times New Roman" w:hAnsi="Times New Roman" w:eastAsia="仿宋_GB2312" w:cs="Times New Roman"/>
                <w:b w:val="0"/>
                <w:bCs w:val="0"/>
                <w:i w:val="0"/>
                <w:iCs w:val="0"/>
                <w:color w:val="000000"/>
                <w:sz w:val="30"/>
                <w:szCs w:val="30"/>
                <w:u w:val="none"/>
                <w:lang w:val="en-US" w:eastAsia="zh-CN"/>
              </w:rPr>
              <w:t>4</w:t>
            </w:r>
          </w:p>
        </w:tc>
        <w:tc>
          <w:tcPr>
            <w:tcW w:w="2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Times New Roman" w:hAnsi="Times New Roman" w:eastAsia="仿宋_GB2312" w:cs="Times New Roman"/>
                <w:b w:val="0"/>
                <w:bCs w:val="0"/>
                <w:i w:val="0"/>
                <w:iCs w:val="0"/>
                <w:color w:val="000000"/>
                <w:sz w:val="30"/>
                <w:szCs w:val="30"/>
                <w:u w:val="none"/>
                <w:lang w:val="en-US" w:eastAsia="zh-CN"/>
              </w:rPr>
            </w:pPr>
            <w:r>
              <w:rPr>
                <w:rFonts w:hint="eastAsia" w:ascii="Times New Roman" w:hAnsi="Times New Roman" w:eastAsia="仿宋_GB2312" w:cs="Times New Roman"/>
                <w:b w:val="0"/>
                <w:bCs w:val="0"/>
                <w:i w:val="0"/>
                <w:iCs w:val="0"/>
                <w:color w:val="000000"/>
                <w:sz w:val="30"/>
                <w:szCs w:val="30"/>
                <w:u w:val="none"/>
                <w:lang w:val="en-US" w:eastAsia="zh-CN"/>
              </w:rPr>
              <w:t>羊栏、羊新、海坡、回辉</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sz w:val="30"/>
                <w:szCs w:val="30"/>
                <w:u w:val="none"/>
                <w:lang w:val="en-US" w:eastAsia="zh-CN"/>
              </w:rPr>
              <w:t>19.73</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sz w:val="30"/>
                <w:szCs w:val="30"/>
                <w:u w:val="none"/>
                <w:lang w:val="en-US" w:eastAsia="zh-CN"/>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Times New Roman" w:hAnsi="Times New Roman" w:eastAsia="仿宋_GB2312" w:cs="Times New Roman"/>
                <w:b w:val="0"/>
                <w:bCs w:val="0"/>
                <w:i w:val="0"/>
                <w:iCs w:val="0"/>
                <w:color w:val="000000"/>
                <w:sz w:val="30"/>
                <w:szCs w:val="30"/>
                <w:u w:val="none"/>
                <w:lang w:val="en-US" w:eastAsia="zh-CN"/>
              </w:rPr>
            </w:pPr>
            <w:r>
              <w:rPr>
                <w:rFonts w:hint="eastAsia" w:ascii="Times New Roman" w:hAnsi="Times New Roman" w:eastAsia="仿宋_GB2312" w:cs="Times New Roman"/>
                <w:b w:val="0"/>
                <w:bCs w:val="0"/>
                <w:i w:val="0"/>
                <w:iCs w:val="0"/>
                <w:color w:val="000000"/>
                <w:sz w:val="30"/>
                <w:szCs w:val="30"/>
                <w:u w:val="none"/>
                <w:lang w:val="en-US" w:eastAsia="zh-CN"/>
              </w:rPr>
              <w:t>9</w:t>
            </w: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Times New Roman" w:hAnsi="Times New Roman" w:eastAsia="仿宋_GB2312" w:cs="Times New Roman"/>
                <w:b w:val="0"/>
                <w:bCs w:val="0"/>
                <w:i w:val="0"/>
                <w:iCs w:val="0"/>
                <w:color w:val="000000"/>
                <w:sz w:val="30"/>
                <w:szCs w:val="30"/>
                <w:u w:val="none"/>
                <w:lang w:val="en-US" w:eastAsia="zh-CN"/>
              </w:rPr>
            </w:pPr>
            <w:r>
              <w:rPr>
                <w:rFonts w:hint="eastAsia" w:ascii="Times New Roman" w:hAnsi="Times New Roman" w:eastAsia="仿宋_GB2312" w:cs="Times New Roman"/>
                <w:b w:val="0"/>
                <w:bCs w:val="0"/>
                <w:i w:val="0"/>
                <w:iCs w:val="0"/>
                <w:color w:val="000000"/>
                <w:sz w:val="30"/>
                <w:szCs w:val="30"/>
                <w:u w:val="none"/>
                <w:lang w:val="en-US" w:eastAsia="zh-CN"/>
              </w:rPr>
              <w:t>城郊中转站</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Times New Roman" w:hAnsi="Times New Roman" w:eastAsia="仿宋_GB2312" w:cs="Times New Roman"/>
                <w:b w:val="0"/>
                <w:bCs w:val="0"/>
                <w:i w:val="0"/>
                <w:iCs w:val="0"/>
                <w:color w:val="000000"/>
                <w:sz w:val="30"/>
                <w:szCs w:val="30"/>
                <w:u w:val="none"/>
                <w:lang w:val="en-US" w:eastAsia="zh-CN"/>
              </w:rPr>
            </w:pPr>
            <w:r>
              <w:rPr>
                <w:rFonts w:hint="eastAsia" w:ascii="Times New Roman" w:hAnsi="Times New Roman" w:eastAsia="仿宋_GB2312" w:cs="Times New Roman"/>
                <w:b w:val="0"/>
                <w:bCs w:val="0"/>
                <w:i w:val="0"/>
                <w:iCs w:val="0"/>
                <w:color w:val="000000"/>
                <w:sz w:val="30"/>
                <w:szCs w:val="30"/>
                <w:u w:val="none"/>
                <w:lang w:val="en-US" w:eastAsia="zh-CN"/>
              </w:rPr>
              <w:t>4</w:t>
            </w:r>
          </w:p>
        </w:tc>
        <w:tc>
          <w:tcPr>
            <w:tcW w:w="2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Times New Roman" w:hAnsi="Times New Roman" w:eastAsia="仿宋_GB2312" w:cs="Times New Roman"/>
                <w:b w:val="0"/>
                <w:bCs w:val="0"/>
                <w:i w:val="0"/>
                <w:iCs w:val="0"/>
                <w:color w:val="000000"/>
                <w:sz w:val="30"/>
                <w:szCs w:val="30"/>
                <w:u w:val="none"/>
                <w:lang w:val="en-US" w:eastAsia="zh-CN"/>
              </w:rPr>
            </w:pPr>
            <w:r>
              <w:rPr>
                <w:rFonts w:hint="eastAsia" w:ascii="Times New Roman" w:hAnsi="Times New Roman" w:eastAsia="仿宋_GB2312" w:cs="Times New Roman"/>
                <w:b w:val="0"/>
                <w:bCs w:val="0"/>
                <w:i w:val="0"/>
                <w:iCs w:val="0"/>
                <w:color w:val="000000"/>
                <w:sz w:val="30"/>
                <w:szCs w:val="30"/>
                <w:u w:val="none"/>
                <w:lang w:val="en-US" w:eastAsia="zh-CN"/>
              </w:rPr>
              <w:t>水蛟、新联、槟榔、妙林</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sz w:val="30"/>
                <w:szCs w:val="30"/>
                <w:u w:val="none"/>
                <w:lang w:val="en-US" w:eastAsia="zh-CN"/>
              </w:rPr>
              <w:t>13.95</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sz w:val="30"/>
                <w:szCs w:val="30"/>
                <w:u w:val="none"/>
                <w:lang w:val="en-US" w:eastAsia="zh-CN"/>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Times New Roman" w:hAnsi="Times New Roman" w:eastAsia="仿宋_GB2312" w:cs="Times New Roman"/>
                <w:b w:val="0"/>
                <w:bCs w:val="0"/>
                <w:i w:val="0"/>
                <w:iCs w:val="0"/>
                <w:color w:val="000000"/>
                <w:sz w:val="30"/>
                <w:szCs w:val="30"/>
                <w:u w:val="none"/>
                <w:lang w:val="en-US" w:eastAsia="zh-CN"/>
              </w:rPr>
            </w:pPr>
            <w:r>
              <w:rPr>
                <w:rFonts w:hint="eastAsia" w:ascii="Times New Roman" w:hAnsi="Times New Roman" w:eastAsia="仿宋_GB2312" w:cs="Times New Roman"/>
                <w:b w:val="0"/>
                <w:bCs w:val="0"/>
                <w:i w:val="0"/>
                <w:iCs w:val="0"/>
                <w:color w:val="000000"/>
                <w:sz w:val="30"/>
                <w:szCs w:val="30"/>
                <w:u w:val="none"/>
                <w:lang w:val="en-US" w:eastAsia="zh-CN"/>
              </w:rPr>
              <w:t>10</w:t>
            </w: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Times New Roman" w:hAnsi="Times New Roman" w:eastAsia="仿宋_GB2312" w:cs="Times New Roman"/>
                <w:b w:val="0"/>
                <w:bCs w:val="0"/>
                <w:i w:val="0"/>
                <w:iCs w:val="0"/>
                <w:color w:val="000000"/>
                <w:sz w:val="30"/>
                <w:szCs w:val="30"/>
                <w:u w:val="none"/>
                <w:lang w:val="en-US" w:eastAsia="zh-CN"/>
              </w:rPr>
            </w:pPr>
            <w:r>
              <w:rPr>
                <w:rFonts w:hint="eastAsia" w:ascii="Times New Roman" w:hAnsi="Times New Roman" w:eastAsia="仿宋_GB2312" w:cs="Times New Roman"/>
                <w:b w:val="0"/>
                <w:bCs w:val="0"/>
                <w:i w:val="0"/>
                <w:iCs w:val="0"/>
                <w:color w:val="000000"/>
                <w:sz w:val="30"/>
                <w:szCs w:val="30"/>
                <w:u w:val="none"/>
                <w:lang w:val="en-US" w:eastAsia="zh-CN"/>
              </w:rPr>
              <w:t>红塘湾中转站</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Times New Roman" w:hAnsi="Times New Roman" w:eastAsia="仿宋_GB2312" w:cs="Times New Roman"/>
                <w:b w:val="0"/>
                <w:bCs w:val="0"/>
                <w:i w:val="0"/>
                <w:iCs w:val="0"/>
                <w:color w:val="000000"/>
                <w:sz w:val="30"/>
                <w:szCs w:val="30"/>
                <w:u w:val="none"/>
                <w:lang w:val="en-US" w:eastAsia="zh-CN"/>
              </w:rPr>
            </w:pPr>
            <w:r>
              <w:rPr>
                <w:rFonts w:hint="eastAsia" w:ascii="Times New Roman" w:hAnsi="Times New Roman" w:eastAsia="仿宋_GB2312" w:cs="Times New Roman"/>
                <w:b w:val="0"/>
                <w:bCs w:val="0"/>
                <w:i w:val="0"/>
                <w:iCs w:val="0"/>
                <w:color w:val="000000"/>
                <w:sz w:val="30"/>
                <w:szCs w:val="30"/>
                <w:u w:val="none"/>
                <w:lang w:val="en-US" w:eastAsia="zh-CN"/>
              </w:rPr>
              <w:t>8</w:t>
            </w:r>
          </w:p>
        </w:tc>
        <w:tc>
          <w:tcPr>
            <w:tcW w:w="2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Times New Roman" w:hAnsi="Times New Roman" w:eastAsia="仿宋_GB2312" w:cs="Times New Roman"/>
                <w:b w:val="0"/>
                <w:bCs w:val="0"/>
                <w:i w:val="0"/>
                <w:iCs w:val="0"/>
                <w:color w:val="000000"/>
                <w:sz w:val="30"/>
                <w:szCs w:val="30"/>
                <w:u w:val="none"/>
                <w:lang w:val="en-US" w:eastAsia="zh-CN"/>
              </w:rPr>
            </w:pPr>
            <w:r>
              <w:rPr>
                <w:rFonts w:hint="eastAsia" w:ascii="Times New Roman" w:hAnsi="Times New Roman" w:eastAsia="仿宋_GB2312" w:cs="Times New Roman"/>
                <w:b w:val="0"/>
                <w:bCs w:val="0"/>
                <w:i w:val="0"/>
                <w:iCs w:val="0"/>
                <w:color w:val="000000"/>
                <w:sz w:val="30"/>
                <w:szCs w:val="30"/>
                <w:u w:val="none"/>
                <w:lang w:val="en-US" w:eastAsia="zh-CN"/>
              </w:rPr>
              <w:t>塔岭、红塘、布甫、黑土、马岭、华丽、过岭、文门</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sz w:val="30"/>
                <w:szCs w:val="30"/>
                <w:u w:val="none"/>
                <w:lang w:val="en-US" w:eastAsia="zh-CN"/>
              </w:rPr>
              <w:t>19.77</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sz w:val="30"/>
                <w:szCs w:val="30"/>
                <w:u w:val="none"/>
                <w:lang w:val="en-US" w:eastAsia="zh-CN"/>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Times New Roman" w:hAnsi="Times New Roman" w:eastAsia="仿宋_GB2312" w:cs="Times New Roman"/>
                <w:b w:val="0"/>
                <w:bCs w:val="0"/>
                <w:i w:val="0"/>
                <w:iCs w:val="0"/>
                <w:color w:val="000000"/>
                <w:sz w:val="30"/>
                <w:szCs w:val="30"/>
                <w:u w:val="none"/>
                <w:lang w:val="en-US" w:eastAsia="zh-CN"/>
              </w:rPr>
            </w:pPr>
            <w:r>
              <w:rPr>
                <w:rFonts w:hint="eastAsia" w:ascii="Times New Roman" w:hAnsi="Times New Roman" w:eastAsia="仿宋_GB2312" w:cs="Times New Roman"/>
                <w:b w:val="0"/>
                <w:bCs w:val="0"/>
                <w:i w:val="0"/>
                <w:iCs w:val="0"/>
                <w:color w:val="000000"/>
                <w:sz w:val="30"/>
                <w:szCs w:val="30"/>
                <w:u w:val="none"/>
                <w:lang w:val="en-US" w:eastAsia="zh-CN"/>
              </w:rPr>
              <w:t>11</w:t>
            </w: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Times New Roman" w:hAnsi="Times New Roman" w:eastAsia="仿宋_GB2312" w:cs="Times New Roman"/>
                <w:b w:val="0"/>
                <w:bCs w:val="0"/>
                <w:i w:val="0"/>
                <w:iCs w:val="0"/>
                <w:color w:val="000000"/>
                <w:sz w:val="30"/>
                <w:szCs w:val="30"/>
                <w:u w:val="none"/>
                <w:lang w:val="en-US" w:eastAsia="zh-CN"/>
              </w:rPr>
            </w:pPr>
            <w:r>
              <w:rPr>
                <w:rFonts w:hint="eastAsia" w:ascii="Times New Roman" w:hAnsi="Times New Roman" w:eastAsia="仿宋_GB2312" w:cs="Times New Roman"/>
                <w:b w:val="0"/>
                <w:bCs w:val="0"/>
                <w:i w:val="0"/>
                <w:iCs w:val="0"/>
                <w:color w:val="000000"/>
                <w:sz w:val="30"/>
                <w:szCs w:val="30"/>
                <w:u w:val="none"/>
                <w:lang w:val="en-US" w:eastAsia="zh-CN"/>
              </w:rPr>
              <w:t>高峰中转站</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Times New Roman" w:hAnsi="Times New Roman" w:eastAsia="仿宋_GB2312" w:cs="Times New Roman"/>
                <w:b w:val="0"/>
                <w:bCs w:val="0"/>
                <w:i w:val="0"/>
                <w:iCs w:val="0"/>
                <w:color w:val="000000"/>
                <w:sz w:val="30"/>
                <w:szCs w:val="30"/>
                <w:u w:val="none"/>
                <w:lang w:val="en-US" w:eastAsia="zh-CN"/>
              </w:rPr>
            </w:pPr>
            <w:r>
              <w:rPr>
                <w:rFonts w:hint="eastAsia" w:ascii="Times New Roman" w:hAnsi="Times New Roman" w:eastAsia="仿宋_GB2312" w:cs="Times New Roman"/>
                <w:b w:val="0"/>
                <w:bCs w:val="0"/>
                <w:i w:val="0"/>
                <w:iCs w:val="0"/>
                <w:color w:val="000000"/>
                <w:sz w:val="30"/>
                <w:szCs w:val="30"/>
                <w:u w:val="none"/>
                <w:lang w:val="en-US" w:eastAsia="zh-CN"/>
              </w:rPr>
              <w:t>6</w:t>
            </w:r>
          </w:p>
        </w:tc>
        <w:tc>
          <w:tcPr>
            <w:tcW w:w="2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Times New Roman" w:hAnsi="Times New Roman" w:eastAsia="仿宋_GB2312" w:cs="Times New Roman"/>
                <w:b w:val="0"/>
                <w:bCs w:val="0"/>
                <w:i w:val="0"/>
                <w:iCs w:val="0"/>
                <w:color w:val="000000"/>
                <w:sz w:val="30"/>
                <w:szCs w:val="30"/>
                <w:u w:val="none"/>
                <w:lang w:val="en-US" w:eastAsia="zh-CN"/>
              </w:rPr>
            </w:pPr>
            <w:r>
              <w:rPr>
                <w:rFonts w:hint="eastAsia" w:ascii="Times New Roman" w:hAnsi="Times New Roman" w:eastAsia="仿宋_GB2312" w:cs="Times New Roman"/>
                <w:b w:val="0"/>
                <w:bCs w:val="0"/>
                <w:i w:val="0"/>
                <w:iCs w:val="0"/>
                <w:color w:val="000000"/>
                <w:sz w:val="30"/>
                <w:szCs w:val="30"/>
                <w:u w:val="none"/>
                <w:lang w:val="en-US" w:eastAsia="zh-CN"/>
              </w:rPr>
              <w:t>扎南、抱龙、立新、南岛、台楼、抱前</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sz w:val="30"/>
                <w:szCs w:val="30"/>
                <w:u w:val="none"/>
                <w:lang w:val="en-US" w:eastAsia="zh-CN"/>
              </w:rPr>
              <w:t>10.67</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sz w:val="30"/>
                <w:szCs w:val="30"/>
                <w:u w:val="none"/>
                <w:lang w:val="en-US" w:eastAsia="zh-CN"/>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Times New Roman" w:hAnsi="Times New Roman" w:eastAsia="仿宋_GB2312" w:cs="Times New Roman"/>
                <w:b w:val="0"/>
                <w:bCs w:val="0"/>
                <w:i w:val="0"/>
                <w:iCs w:val="0"/>
                <w:color w:val="000000"/>
                <w:sz w:val="30"/>
                <w:szCs w:val="30"/>
                <w:u w:val="none"/>
                <w:lang w:val="en-US" w:eastAsia="zh-CN"/>
              </w:rPr>
            </w:pPr>
            <w:r>
              <w:rPr>
                <w:rFonts w:hint="eastAsia" w:ascii="Times New Roman" w:hAnsi="Times New Roman" w:eastAsia="仿宋_GB2312" w:cs="Times New Roman"/>
                <w:b w:val="0"/>
                <w:bCs w:val="0"/>
                <w:i w:val="0"/>
                <w:iCs w:val="0"/>
                <w:color w:val="000000"/>
                <w:sz w:val="30"/>
                <w:szCs w:val="30"/>
                <w:u w:val="none"/>
                <w:lang w:val="en-US" w:eastAsia="zh-CN"/>
              </w:rPr>
              <w:t>合计/平均</w:t>
            </w: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default" w:ascii="Times New Roman" w:hAnsi="Times New Roman" w:eastAsia="仿宋_GB2312" w:cs="Times New Roman"/>
                <w:b w:val="0"/>
                <w:bCs w:val="0"/>
                <w:i w:val="0"/>
                <w:iCs w:val="0"/>
                <w:color w:val="000000"/>
                <w:sz w:val="30"/>
                <w:szCs w:val="30"/>
                <w:u w:val="none"/>
                <w:lang w:val="en-US" w:eastAsia="zh-CN"/>
              </w:rPr>
            </w:pPr>
            <w:r>
              <w:rPr>
                <w:rFonts w:hint="eastAsia" w:eastAsia="仿宋_GB2312" w:cs="Times New Roman"/>
                <w:b w:val="0"/>
                <w:bCs w:val="0"/>
                <w:i w:val="0"/>
                <w:iCs w:val="0"/>
                <w:color w:val="000000"/>
                <w:sz w:val="30"/>
                <w:szCs w:val="30"/>
                <w:u w:val="none"/>
                <w:lang w:val="en-US" w:eastAsia="zh-CN"/>
              </w:rPr>
              <w:t>/</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Times New Roman" w:hAnsi="Times New Roman" w:eastAsia="仿宋_GB2312" w:cs="Times New Roman"/>
                <w:b w:val="0"/>
                <w:bCs w:val="0"/>
                <w:i w:val="0"/>
                <w:iCs w:val="0"/>
                <w:color w:val="000000"/>
                <w:sz w:val="30"/>
                <w:szCs w:val="30"/>
                <w:u w:val="none"/>
                <w:lang w:val="en-US" w:eastAsia="zh-CN"/>
              </w:rPr>
            </w:pPr>
            <w:r>
              <w:rPr>
                <w:rFonts w:hint="eastAsia" w:ascii="Times New Roman" w:hAnsi="Times New Roman" w:eastAsia="仿宋_GB2312" w:cs="Times New Roman"/>
                <w:b w:val="0"/>
                <w:bCs w:val="0"/>
                <w:i w:val="0"/>
                <w:iCs w:val="0"/>
                <w:color w:val="000000"/>
                <w:sz w:val="30"/>
                <w:szCs w:val="30"/>
                <w:u w:val="none"/>
                <w:lang w:val="en-US" w:eastAsia="zh-CN"/>
              </w:rPr>
              <w:t>46</w:t>
            </w:r>
          </w:p>
        </w:tc>
        <w:tc>
          <w:tcPr>
            <w:tcW w:w="2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Times New Roman" w:hAnsi="Times New Roman" w:eastAsia="仿宋_GB2312" w:cs="Times New Roman"/>
                <w:b w:val="0"/>
                <w:bCs w:val="0"/>
                <w:i w:val="0"/>
                <w:iCs w:val="0"/>
                <w:color w:val="000000"/>
                <w:sz w:val="30"/>
                <w:szCs w:val="30"/>
                <w:u w:val="none"/>
                <w:lang w:val="en-US" w:eastAsia="zh-CN"/>
              </w:rPr>
            </w:pPr>
            <w:r>
              <w:rPr>
                <w:rFonts w:hint="eastAsia" w:ascii="Times New Roman" w:hAnsi="Times New Roman" w:eastAsia="仿宋_GB2312" w:cs="Times New Roman"/>
                <w:b w:val="0"/>
                <w:bCs w:val="0"/>
                <w:i w:val="0"/>
                <w:iCs w:val="0"/>
                <w:color w:val="000000"/>
                <w:sz w:val="30"/>
                <w:szCs w:val="30"/>
                <w:u w:val="none"/>
                <w:lang w:val="en-US" w:eastAsia="zh-CN"/>
              </w:rPr>
              <w:t>/</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sz w:val="30"/>
                <w:szCs w:val="30"/>
                <w:u w:val="none"/>
                <w:lang w:val="en-US" w:eastAsia="zh-CN"/>
              </w:rPr>
              <w:t>155.78</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auto"/>
              <w:rPr>
                <w:rFonts w:hint="default" w:ascii="Times New Roman" w:hAnsi="Times New Roman" w:eastAsia="仿宋_GB2312" w:cs="Times New Roman"/>
                <w:b w:val="0"/>
                <w:bCs w:val="0"/>
                <w:i w:val="0"/>
                <w:iCs w:val="0"/>
                <w:color w:val="000000"/>
                <w:sz w:val="30"/>
                <w:szCs w:val="30"/>
                <w:u w:val="none"/>
                <w:lang w:val="en-US" w:eastAsia="zh-CN"/>
              </w:rPr>
            </w:pPr>
            <w:r>
              <w:rPr>
                <w:rFonts w:hint="default" w:ascii="Times New Roman" w:hAnsi="Times New Roman" w:eastAsia="仿宋_GB2312" w:cs="Times New Roman"/>
                <w:b w:val="0"/>
                <w:bCs w:val="0"/>
                <w:i w:val="0"/>
                <w:iCs w:val="0"/>
                <w:color w:val="000000"/>
                <w:sz w:val="30"/>
                <w:szCs w:val="30"/>
                <w:u w:val="none"/>
                <w:lang w:val="en-US" w:eastAsia="zh-CN"/>
              </w:rPr>
              <w:t>270</w:t>
            </w:r>
          </w:p>
        </w:tc>
      </w:tr>
    </w:tbl>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eastAsia="仿宋_GB2312" w:cs="Times New Roman"/>
          <w:sz w:val="32"/>
          <w:szCs w:val="32"/>
          <w:lang w:val="en-US" w:eastAsia="zh-CN"/>
        </w:rPr>
      </w:pPr>
      <w:r>
        <w:rPr>
          <w:rFonts w:hint="default" w:eastAsia="仿宋_GB2312" w:cs="Times New Roman"/>
          <w:sz w:val="32"/>
          <w:szCs w:val="32"/>
          <w:lang w:val="en-US" w:eastAsia="zh-CN"/>
        </w:rPr>
        <w:t>整体合计：</w:t>
      </w:r>
      <w:r>
        <w:rPr>
          <w:rFonts w:hint="eastAsia" w:eastAsia="仿宋_GB2312" w:cs="Times New Roman"/>
          <w:sz w:val="32"/>
          <w:szCs w:val="32"/>
          <w:lang w:val="en-US" w:eastAsia="zh-CN"/>
        </w:rPr>
        <w:t>11个片区中转站，</w:t>
      </w:r>
      <w:r>
        <w:rPr>
          <w:rFonts w:hint="default" w:eastAsia="仿宋_GB2312" w:cs="Times New Roman"/>
          <w:sz w:val="32"/>
          <w:szCs w:val="32"/>
          <w:lang w:val="en-US" w:eastAsia="zh-CN"/>
        </w:rPr>
        <w:t>共服务46个村社，约12.46万户，总日产生量</w:t>
      </w:r>
      <w:r>
        <w:rPr>
          <w:rFonts w:hint="eastAsia" w:eastAsia="仿宋_GB2312" w:cs="Times New Roman"/>
          <w:sz w:val="32"/>
          <w:szCs w:val="32"/>
          <w:lang w:val="en-US" w:eastAsia="zh-CN"/>
        </w:rPr>
        <w:t>155.8</w:t>
      </w:r>
      <w:r>
        <w:rPr>
          <w:rFonts w:hint="default" w:eastAsia="仿宋_GB2312" w:cs="Times New Roman"/>
          <w:sz w:val="32"/>
          <w:szCs w:val="32"/>
          <w:lang w:val="en-US" w:eastAsia="zh-CN"/>
        </w:rPr>
        <w:t>吨，总处理能力2</w:t>
      </w:r>
      <w:r>
        <w:rPr>
          <w:rFonts w:hint="eastAsia" w:eastAsia="仿宋_GB2312" w:cs="Times New Roman"/>
          <w:sz w:val="32"/>
          <w:szCs w:val="32"/>
          <w:lang w:val="en-US" w:eastAsia="zh-CN"/>
        </w:rPr>
        <w:t>70</w:t>
      </w:r>
      <w:r>
        <w:rPr>
          <w:rFonts w:hint="default" w:eastAsia="仿宋_GB2312" w:cs="Times New Roman"/>
          <w:sz w:val="32"/>
          <w:szCs w:val="32"/>
          <w:lang w:val="en-US" w:eastAsia="zh-CN"/>
        </w:rPr>
        <w:t>吨/日，整富余率</w:t>
      </w:r>
      <w:r>
        <w:rPr>
          <w:rFonts w:hint="eastAsia" w:eastAsia="仿宋_GB2312" w:cs="Times New Roman"/>
          <w:sz w:val="32"/>
          <w:szCs w:val="32"/>
          <w:lang w:val="en-US" w:eastAsia="zh-CN"/>
        </w:rPr>
        <w:t>73.3</w:t>
      </w:r>
      <w:r>
        <w:rPr>
          <w:rFonts w:hint="default" w:eastAsia="仿宋_GB2312" w:cs="Times New Roman"/>
          <w:sz w:val="32"/>
          <w:szCs w:val="32"/>
          <w:lang w:val="en-US" w:eastAsia="zh-CN"/>
        </w:rPr>
        <w:t>%，</w:t>
      </w:r>
      <w:r>
        <w:rPr>
          <w:rFonts w:hint="eastAsia" w:eastAsia="仿宋_GB2312" w:cs="Times New Roman"/>
          <w:sz w:val="32"/>
          <w:szCs w:val="32"/>
          <w:lang w:val="en-US" w:eastAsia="zh-CN"/>
        </w:rPr>
        <w:t>11</w:t>
      </w:r>
      <w:r>
        <w:rPr>
          <w:rFonts w:hint="default" w:eastAsia="仿宋_GB2312" w:cs="Times New Roman"/>
          <w:sz w:val="32"/>
          <w:szCs w:val="32"/>
          <w:lang w:val="en-US" w:eastAsia="zh-CN"/>
        </w:rPr>
        <w:t>个中转站的处理能力已充分满足2026年至2030年及此后较长时期的运营需求，在现有富余空间消化完毕前，体系仍有较长的平稳运行周期。</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2"/>
        <w:rPr>
          <w:rFonts w:hint="default" w:ascii="楷体" w:hAnsi="楷体" w:eastAsia="楷体" w:cs="楷体"/>
          <w:b/>
          <w:bCs/>
          <w:color w:val="auto"/>
          <w:highlight w:val="none"/>
          <w:lang w:val="en-US" w:eastAsia="zh-CN"/>
        </w:rPr>
      </w:pPr>
      <w:bookmarkStart w:id="166" w:name="_Toc6072"/>
      <w:bookmarkStart w:id="167" w:name="_Toc979"/>
      <w:r>
        <w:rPr>
          <w:rFonts w:hint="eastAsia" w:ascii="楷体" w:hAnsi="楷体" w:eastAsia="楷体" w:cs="楷体"/>
          <w:b/>
          <w:bCs/>
          <w:color w:val="auto"/>
          <w:highlight w:val="none"/>
          <w:lang w:val="en-US" w:eastAsia="zh-CN"/>
        </w:rPr>
        <w:t xml:space="preserve">第六节 </w:t>
      </w:r>
      <w:r>
        <w:rPr>
          <w:rFonts w:hint="default" w:ascii="楷体" w:hAnsi="楷体" w:eastAsia="楷体" w:cs="楷体"/>
          <w:b/>
          <w:bCs/>
          <w:color w:val="auto"/>
          <w:highlight w:val="none"/>
          <w:lang w:val="en-US" w:eastAsia="zh-CN"/>
        </w:rPr>
        <w:t>区级绿色分拣中心</w:t>
      </w:r>
      <w:bookmarkEnd w:id="166"/>
      <w:bookmarkEnd w:id="167"/>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依</w:t>
      </w:r>
      <w:r>
        <w:rPr>
          <w:rFonts w:hint="eastAsia" w:eastAsia="仿宋_GB2312" w:cs="Times New Roman"/>
          <w:sz w:val="32"/>
          <w:szCs w:val="32"/>
          <w:lang w:val="en-US" w:eastAsia="zh-CN"/>
        </w:rPr>
        <w:t>托</w:t>
      </w:r>
      <w:r>
        <w:rPr>
          <w:rFonts w:hint="default" w:ascii="Times New Roman" w:hAnsi="Times New Roman" w:eastAsia="仿宋_GB2312" w:cs="Times New Roman"/>
          <w:sz w:val="32"/>
          <w:szCs w:val="32"/>
          <w:lang w:val="en-US" w:eastAsia="zh-CN"/>
        </w:rPr>
        <w:t>三亚市</w:t>
      </w:r>
      <w:r>
        <w:rPr>
          <w:rFonts w:hint="eastAsia" w:eastAsia="仿宋_GB2312" w:cs="Times New Roman"/>
          <w:sz w:val="32"/>
          <w:szCs w:val="32"/>
          <w:lang w:val="en-US" w:eastAsia="zh-CN"/>
        </w:rPr>
        <w:t>再生资源集散中心作</w:t>
      </w:r>
      <w:r>
        <w:rPr>
          <w:rFonts w:hint="default" w:ascii="Times New Roman" w:hAnsi="Times New Roman" w:eastAsia="仿宋_GB2312" w:cs="Times New Roman"/>
          <w:sz w:val="32"/>
          <w:szCs w:val="32"/>
          <w:lang w:val="en-US" w:eastAsia="zh-CN"/>
        </w:rPr>
        <w:t>为天涯区再生资源回收体系末端核心枢纽，统筹承担全区分拣、拆解、清洗、破碎、打包、密闭暂存、批量外销功能，实现全区再生资源集约化、规模化、标准化处置。</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分拣中心内部科学划分功能分区，构建完整闭环作业体系，主要包含接收卸货区、精细化分拣区、深加工处理区、分类储存区、成品打包区、综合办公区及环保治理设施区七大功能板块，配套地磅卸货、智能分拣、传送输送、破碎清洗、液压打包、叉车仓储、智慧监管、污水处理、废气治理等全套标准化设备，实现全流程机械化、规范化、智能化作业。</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在资源协同处置方面，生活类、常规工业类再生资源全部纳入区级分拣中心闭环处置；建筑垃圾、农业废弃物、渔业废弃物、危险废物、报废机动车等特殊品类，严格按照市级统一部署纳入专项渠道跨区协同闭环处置；废旧家电、电子废弃物等拆解类物资，由具备专业资质的合规企业承接专项拆解处置，全面实现天涯区各类再生资源“前端应收尽收、中端规范中转、末端合规处置”的全链条闭环治理格局。</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lang w:val="en-US" w:eastAsia="zh-CN"/>
        </w:rPr>
        <w:sectPr>
          <w:pgSz w:w="11905" w:h="16838"/>
          <w:pgMar w:top="2098" w:right="1474" w:bottom="1984" w:left="1587" w:header="851" w:footer="992" w:gutter="0"/>
          <w:pgNumType w:fmt="decimal"/>
          <w:cols w:space="0" w:num="1"/>
          <w:rtlGutter w:val="0"/>
          <w:docGrid w:type="lines" w:linePitch="439" w:charSpace="0"/>
        </w:sectPr>
      </w:pPr>
      <w:r>
        <w:rPr>
          <w:rFonts w:hint="default" w:ascii="Times New Roman" w:hAnsi="Times New Roman" w:eastAsia="仿宋_GB2312" w:cs="Times New Roman"/>
          <w:sz w:val="32"/>
          <w:szCs w:val="32"/>
          <w:lang w:val="en-US" w:eastAsia="zh-CN"/>
        </w:rPr>
        <w:t>色低碳发展标杆。</w:t>
      </w:r>
    </w:p>
    <w:p>
      <w:pPr>
        <w:keepNext w:val="0"/>
        <w:keepLines w:val="0"/>
        <w:pageBreakBefore w:val="0"/>
        <w:widowControl w:val="0"/>
        <w:kinsoku/>
        <w:wordWrap/>
        <w:overflowPunct/>
        <w:topLinePunct w:val="0"/>
        <w:autoSpaceDE/>
        <w:autoSpaceDN/>
        <w:bidi w:val="0"/>
        <w:adjustRightInd w:val="0"/>
        <w:snapToGrid w:val="0"/>
        <w:spacing w:before="0" w:after="0" w:line="560" w:lineRule="exact"/>
        <w:ind w:firstLine="0" w:firstLineChars="0"/>
        <w:jc w:val="center"/>
        <w:textAlignment w:val="auto"/>
        <w:outlineLvl w:val="1"/>
        <w:rPr>
          <w:rFonts w:hint="default" w:eastAsia="黑体"/>
          <w:bCs/>
          <w:kern w:val="44"/>
          <w:sz w:val="32"/>
          <w:szCs w:val="44"/>
          <w:lang w:val="en-US" w:eastAsia="zh-CN"/>
        </w:rPr>
      </w:pPr>
      <w:bookmarkStart w:id="168" w:name="_Toc6037"/>
      <w:r>
        <w:rPr>
          <w:rFonts w:hint="eastAsia" w:eastAsia="黑体"/>
          <w:bCs/>
          <w:kern w:val="44"/>
          <w:sz w:val="32"/>
          <w:szCs w:val="44"/>
          <w:lang w:val="en-US" w:eastAsia="zh-CN"/>
        </w:rPr>
        <w:t xml:space="preserve">第四章  </w:t>
      </w:r>
      <w:r>
        <w:rPr>
          <w:rFonts w:hint="default" w:eastAsia="黑体"/>
          <w:bCs/>
          <w:kern w:val="44"/>
          <w:sz w:val="32"/>
          <w:szCs w:val="44"/>
          <w:lang w:val="en-US" w:eastAsia="zh-CN"/>
        </w:rPr>
        <w:t>织密全域回收网络</w:t>
      </w:r>
      <w:r>
        <w:rPr>
          <w:rFonts w:hint="eastAsia" w:eastAsia="黑体"/>
          <w:bCs/>
          <w:kern w:val="44"/>
          <w:sz w:val="32"/>
          <w:szCs w:val="44"/>
          <w:lang w:val="en-US" w:eastAsia="zh-CN"/>
        </w:rPr>
        <w:t>，</w:t>
      </w:r>
      <w:r>
        <w:rPr>
          <w:rFonts w:hint="default" w:eastAsia="黑体"/>
          <w:bCs/>
          <w:kern w:val="44"/>
          <w:sz w:val="32"/>
          <w:szCs w:val="44"/>
          <w:lang w:val="en-US" w:eastAsia="zh-CN"/>
        </w:rPr>
        <w:t>构建现代循环体系</w:t>
      </w:r>
      <w:bookmarkEnd w:id="168"/>
      <w:bookmarkStart w:id="169" w:name="_Toc8408"/>
      <w:bookmarkStart w:id="170" w:name="_Toc25839"/>
      <w:bookmarkStart w:id="171" w:name="_Toc17429"/>
      <w:bookmarkStart w:id="172" w:name="_Toc32296"/>
      <w:bookmarkStart w:id="173" w:name="_Toc28878"/>
      <w:bookmarkStart w:id="174" w:name="_Toc29262"/>
      <w:bookmarkStart w:id="175" w:name="_Toc29021"/>
      <w:bookmarkStart w:id="176" w:name="_Toc26316"/>
      <w:bookmarkStart w:id="177" w:name="_Toc17901"/>
    </w:p>
    <w:p>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60" w:lineRule="exact"/>
        <w:ind w:firstLine="643" w:firstLineChars="200"/>
        <w:jc w:val="both"/>
        <w:textAlignment w:val="auto"/>
        <w:outlineLvl w:val="3"/>
        <w:rPr>
          <w:rFonts w:hint="default" w:ascii="Times New Roman" w:hAnsi="Times New Roman" w:eastAsia="仿宋_GB2312" w:cs="Times New Roman"/>
          <w:b w:val="0"/>
          <w:bCs w:val="0"/>
          <w:color w:val="auto"/>
          <w:sz w:val="32"/>
          <w:szCs w:val="32"/>
          <w:lang w:val="en-US" w:eastAsia="zh-CN"/>
        </w:rPr>
      </w:pPr>
      <w:bookmarkStart w:id="178" w:name="_Toc19951"/>
      <w:r>
        <w:rPr>
          <w:rFonts w:hint="eastAsia" w:ascii="Times New Roman" w:hAnsi="Times New Roman" w:eastAsia="仿宋_GB2312" w:cs="Times New Roman"/>
          <w:b/>
          <w:bCs/>
          <w:kern w:val="0"/>
          <w:sz w:val="32"/>
          <w:szCs w:val="32"/>
          <w:lang w:val="en-US" w:eastAsia="zh-CN" w:bidi="ar"/>
        </w:rPr>
        <w:t>优化空间布局，完善网络体系</w:t>
      </w:r>
      <w:bookmarkEnd w:id="169"/>
      <w:bookmarkEnd w:id="170"/>
      <w:bookmarkEnd w:id="171"/>
      <w:bookmarkEnd w:id="172"/>
      <w:bookmarkEnd w:id="173"/>
      <w:bookmarkEnd w:id="174"/>
      <w:bookmarkEnd w:id="175"/>
      <w:bookmarkEnd w:id="176"/>
      <w:bookmarkEnd w:id="177"/>
      <w:r>
        <w:rPr>
          <w:rFonts w:hint="eastAsia" w:ascii="Times New Roman" w:hAnsi="Times New Roman" w:eastAsia="仿宋_GB2312" w:cs="Times New Roman"/>
          <w:b/>
          <w:bCs/>
          <w:kern w:val="0"/>
          <w:sz w:val="32"/>
          <w:szCs w:val="32"/>
          <w:lang w:val="en-US" w:eastAsia="zh-CN" w:bidi="ar"/>
        </w:rPr>
        <w:t>。</w:t>
      </w:r>
      <w:r>
        <w:rPr>
          <w:rFonts w:hint="default" w:ascii="Times New Roman" w:hAnsi="Times New Roman" w:eastAsia="仿宋_GB2312" w:cs="Times New Roman"/>
          <w:b w:val="0"/>
          <w:bCs w:val="0"/>
          <w:color w:val="auto"/>
          <w:sz w:val="32"/>
          <w:szCs w:val="32"/>
          <w:lang w:val="en-US" w:eastAsia="zh-CN"/>
        </w:rPr>
        <w:t>以构建“前端便民全覆盖、中端分片优布局、末端集约强联动”的三级回收网络为目标，系统优化辖区再生资源网点空间布局。一是精准落位网点布局，由区商务局牵头统筹，联合各街道、涉农片区管委会，结合全区46个村（社区）人口分布、场地条件、产废特征，逐一明确各固定交投点、区级绿色分拣中心的布设坐标、用地规模、建设标准及责任主体，编制形成全域可视化网点布局图，按程序报区政府备案并向社会公示后落地实施。二是深化两网融合共建，推动再生资源回收交投点与生活垃圾分类投放、收集、转运设施一体化融合建设，共享场地空间、作业人员与收运设备，优先在现有垃圾分类点位配套建设回收网点，有效避免重复建设、提升公共空间利用效率。三是强化建设用地保障，将再生资源交投点、分拣中心等配套设施用地纳入国土空间统筹规划，优先保障用地指标、简化审批流程；对利用闲置厂房、空置场地改造建设回收网点的，协调落实租金减免等扶持政策，彻底破除网点落地用地制约。</w:t>
      </w:r>
      <w:bookmarkEnd w:id="178"/>
      <w:bookmarkStart w:id="179" w:name="_Toc22168"/>
      <w:bookmarkStart w:id="180" w:name="_Toc21610"/>
      <w:bookmarkStart w:id="181" w:name="_Toc15988"/>
      <w:bookmarkStart w:id="182" w:name="_Toc395"/>
      <w:bookmarkStart w:id="183" w:name="_Toc25281"/>
      <w:bookmarkStart w:id="184" w:name="_Toc25908"/>
      <w:bookmarkStart w:id="185" w:name="_Toc32610"/>
      <w:bookmarkStart w:id="186" w:name="_Toc23493"/>
      <w:bookmarkStart w:id="187" w:name="_Toc11089"/>
    </w:p>
    <w:p>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60" w:lineRule="exact"/>
        <w:ind w:firstLine="643" w:firstLineChars="200"/>
        <w:jc w:val="both"/>
        <w:textAlignment w:val="auto"/>
        <w:outlineLvl w:val="3"/>
        <w:rPr>
          <w:rFonts w:hint="default" w:ascii="Times New Roman" w:hAnsi="Times New Roman" w:eastAsia="仿宋_GB2312" w:cs="Times New Roman"/>
          <w:b w:val="0"/>
          <w:bCs w:val="0"/>
          <w:kern w:val="0"/>
          <w:sz w:val="32"/>
          <w:szCs w:val="32"/>
          <w:lang w:val="en-US" w:eastAsia="zh-CN" w:bidi="ar"/>
        </w:rPr>
      </w:pPr>
      <w:bookmarkStart w:id="188" w:name="_Toc1267"/>
      <w:r>
        <w:rPr>
          <w:rFonts w:hint="eastAsia" w:ascii="Times New Roman" w:hAnsi="Times New Roman" w:eastAsia="仿宋_GB2312" w:cs="Times New Roman"/>
          <w:b/>
          <w:bCs/>
          <w:kern w:val="0"/>
          <w:sz w:val="32"/>
          <w:szCs w:val="32"/>
          <w:lang w:val="en-US" w:eastAsia="zh-CN" w:bidi="ar"/>
        </w:rPr>
        <w:t>开展行业整治，规范运营秩序</w:t>
      </w:r>
      <w:bookmarkEnd w:id="179"/>
      <w:bookmarkEnd w:id="180"/>
      <w:bookmarkEnd w:id="181"/>
      <w:bookmarkEnd w:id="182"/>
      <w:bookmarkEnd w:id="183"/>
      <w:bookmarkEnd w:id="184"/>
      <w:bookmarkEnd w:id="185"/>
      <w:bookmarkEnd w:id="186"/>
      <w:bookmarkEnd w:id="187"/>
      <w:r>
        <w:rPr>
          <w:rFonts w:hint="eastAsia" w:ascii="Times New Roman" w:hAnsi="Times New Roman" w:eastAsia="仿宋_GB2312" w:cs="Times New Roman"/>
          <w:b/>
          <w:bCs/>
          <w:kern w:val="0"/>
          <w:sz w:val="32"/>
          <w:szCs w:val="32"/>
          <w:lang w:val="en-US" w:eastAsia="zh-CN" w:bidi="ar"/>
        </w:rPr>
        <w:t>。</w:t>
      </w:r>
      <w:r>
        <w:rPr>
          <w:rFonts w:hint="default" w:ascii="Times New Roman" w:hAnsi="Times New Roman" w:eastAsia="仿宋_GB2312" w:cs="Times New Roman"/>
          <w:b w:val="0"/>
          <w:bCs w:val="0"/>
          <w:kern w:val="0"/>
          <w:sz w:val="32"/>
          <w:szCs w:val="32"/>
          <w:lang w:val="en-US" w:eastAsia="zh-CN" w:bidi="ar"/>
        </w:rPr>
        <w:t>针对辖区再生资源行业散乱无序、违规布点、隐患突出等问题，全面开展行业专项整治提升行动，构建标准化、规范化运营格局。一是健全长效管理制度，严格落实回收主体备案、经营台账登记、生产性废旧金属专项登记、禁收物品清单管理等制度，明确备案流程、台账规范与禁收范围，督促所有经营主体如实记录回收品类、数量、来源及去向，实现全链条可追溯管理。二是分类推进存量站点整改，对全域排查梳理的</w:t>
      </w:r>
      <w:r>
        <w:rPr>
          <w:rFonts w:hint="eastAsia" w:eastAsia="仿宋_GB2312" w:cs="Times New Roman"/>
          <w:b w:val="0"/>
          <w:bCs w:val="0"/>
          <w:kern w:val="0"/>
          <w:sz w:val="32"/>
          <w:szCs w:val="32"/>
          <w:lang w:val="en-US" w:eastAsia="zh-CN" w:bidi="ar"/>
        </w:rPr>
        <w:t>126</w:t>
      </w:r>
      <w:r>
        <w:rPr>
          <w:rFonts w:hint="default" w:ascii="Times New Roman" w:hAnsi="Times New Roman" w:eastAsia="仿宋_GB2312" w:cs="Times New Roman"/>
          <w:b w:val="0"/>
          <w:bCs w:val="0"/>
          <w:kern w:val="0"/>
          <w:sz w:val="32"/>
          <w:szCs w:val="32"/>
          <w:lang w:val="en-US" w:eastAsia="zh-CN" w:bidi="ar"/>
        </w:rPr>
        <w:t>个有效站点实施分类管控、限期提质，其中针对合规站点限期内完成场地硬化、防渗处理、消防设施配齐等标准化整改，验收合格后方可持续运营；存在违规问题的站点按期完成整改、搬迁整合或清退，全面消除安全、环保、市容隐患。三是打造行业示范标杆，择优选取三亚湾社区、榆港社区、槟榔村等基础条件较好的点位，高标准完善配套设施、优化服务运营流程，总结形成可复制、可推广的标准化运营模式，以点带面推动全行业规范化提档升级。</w:t>
      </w:r>
      <w:bookmarkEnd w:id="188"/>
      <w:bookmarkStart w:id="189" w:name="_Toc28233"/>
      <w:bookmarkStart w:id="190" w:name="_Toc18503"/>
      <w:bookmarkStart w:id="191" w:name="_Toc28090"/>
      <w:bookmarkStart w:id="192" w:name="_Toc21639"/>
      <w:bookmarkStart w:id="193" w:name="_Toc349"/>
      <w:bookmarkStart w:id="194" w:name="_Toc18463"/>
      <w:bookmarkStart w:id="195" w:name="_Toc4843"/>
      <w:bookmarkStart w:id="196" w:name="_Toc18359"/>
      <w:bookmarkStart w:id="197" w:name="_Toc1213"/>
    </w:p>
    <w:p>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60" w:lineRule="exact"/>
        <w:ind w:firstLine="643" w:firstLineChars="200"/>
        <w:jc w:val="both"/>
        <w:textAlignment w:val="auto"/>
        <w:outlineLvl w:val="3"/>
        <w:rPr>
          <w:rFonts w:hint="default" w:ascii="Times New Roman" w:hAnsi="Times New Roman" w:eastAsia="仿宋_GB2312" w:cs="Times New Roman"/>
          <w:sz w:val="32"/>
          <w:szCs w:val="32"/>
          <w:lang w:val="en-US" w:eastAsia="zh-CN"/>
        </w:rPr>
      </w:pPr>
      <w:bookmarkStart w:id="198" w:name="_Toc1247"/>
      <w:r>
        <w:rPr>
          <w:rFonts w:hint="eastAsia" w:ascii="Times New Roman" w:hAnsi="Times New Roman" w:eastAsia="仿宋_GB2312" w:cs="Times New Roman"/>
          <w:b/>
          <w:bCs/>
          <w:kern w:val="0"/>
          <w:sz w:val="32"/>
          <w:szCs w:val="32"/>
          <w:lang w:val="en-US" w:eastAsia="zh-CN" w:bidi="ar"/>
        </w:rPr>
        <w:t>培育市场主体，提升专业化水平</w:t>
      </w:r>
      <w:bookmarkEnd w:id="189"/>
      <w:bookmarkEnd w:id="190"/>
      <w:bookmarkEnd w:id="191"/>
      <w:bookmarkEnd w:id="192"/>
      <w:bookmarkEnd w:id="193"/>
      <w:bookmarkEnd w:id="194"/>
      <w:bookmarkEnd w:id="195"/>
      <w:bookmarkEnd w:id="196"/>
      <w:bookmarkEnd w:id="197"/>
      <w:r>
        <w:rPr>
          <w:rFonts w:hint="eastAsia" w:ascii="Times New Roman" w:hAnsi="Times New Roman" w:eastAsia="仿宋_GB2312" w:cs="Times New Roman"/>
          <w:b/>
          <w:bCs/>
          <w:kern w:val="0"/>
          <w:sz w:val="32"/>
          <w:szCs w:val="32"/>
          <w:lang w:val="en-US" w:eastAsia="zh-CN" w:bidi="ar"/>
        </w:rPr>
        <w:t>。</w:t>
      </w:r>
      <w:r>
        <w:rPr>
          <w:rFonts w:hint="default" w:ascii="Times New Roman" w:hAnsi="Times New Roman" w:eastAsia="仿宋_GB2312" w:cs="Times New Roman"/>
          <w:sz w:val="32"/>
          <w:szCs w:val="32"/>
          <w:lang w:val="en-US" w:eastAsia="zh-CN"/>
        </w:rPr>
        <w:t>破解当前散户经营为主、行业规模偏小、专业化程度不足的发展瓶颈，推动行业向规模化、品牌化、专业化转型。一是培育一体化龙头运营企业，重点引进或本土培育1-2家集“资源回收、集中分拣、资源化利用”于一体的龙头企业，依托完善的运营体系、专业的分拣设备、合规的处置渠道，统筹承接全区再生资源统一收运、集中分拣、规范处置工作。二是推行连锁化统一运营，引导龙头企业整合辖区合规零散站点，实行统一标识、统一建设标准、统一运营管理、统一收运调度的连锁模式，持续提升行业集约化、规模化水平。三是建设专业化收运队伍，引导运营企业配置新能源密闭收运车辆，配齐专业分拣、运维作业人员，搭建“前端归集转运、中端集中分拣”的专业化收运体系，彻底解决传统收运抛洒滴漏、二次污染、作业不规范等问题。</w:t>
      </w:r>
      <w:bookmarkEnd w:id="198"/>
      <w:bookmarkStart w:id="199" w:name="_Toc29417"/>
      <w:bookmarkStart w:id="200" w:name="_Toc26204"/>
      <w:bookmarkStart w:id="201" w:name="_Toc15174"/>
      <w:bookmarkStart w:id="202" w:name="_Toc25398"/>
      <w:bookmarkStart w:id="203" w:name="_Toc29097"/>
      <w:bookmarkStart w:id="204" w:name="_Toc10770"/>
      <w:bookmarkStart w:id="205" w:name="_Toc11964"/>
      <w:bookmarkStart w:id="206" w:name="_Toc16298"/>
      <w:bookmarkStart w:id="207" w:name="_Toc8319"/>
    </w:p>
    <w:p>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60" w:lineRule="exact"/>
        <w:ind w:firstLine="643" w:firstLineChars="200"/>
        <w:jc w:val="both"/>
        <w:textAlignment w:val="auto"/>
        <w:outlineLvl w:val="3"/>
        <w:rPr>
          <w:rFonts w:hint="default" w:ascii="Times New Roman" w:hAnsi="Times New Roman" w:eastAsia="仿宋_GB2312" w:cs="Times New Roman"/>
          <w:sz w:val="32"/>
          <w:szCs w:val="32"/>
          <w:lang w:val="en-US" w:eastAsia="zh-CN"/>
        </w:rPr>
      </w:pPr>
      <w:bookmarkStart w:id="208" w:name="_Toc15527"/>
      <w:r>
        <w:rPr>
          <w:rFonts w:hint="eastAsia" w:ascii="Times New Roman" w:hAnsi="Times New Roman" w:eastAsia="仿宋_GB2312" w:cs="Times New Roman"/>
          <w:b/>
          <w:bCs/>
          <w:kern w:val="0"/>
          <w:sz w:val="32"/>
          <w:szCs w:val="32"/>
          <w:lang w:val="en-US" w:eastAsia="zh-CN" w:bidi="ar"/>
        </w:rPr>
        <w:t>深化“两网融合”，提升回收效率</w:t>
      </w:r>
      <w:bookmarkEnd w:id="199"/>
      <w:bookmarkEnd w:id="200"/>
      <w:bookmarkEnd w:id="201"/>
      <w:bookmarkEnd w:id="202"/>
      <w:bookmarkEnd w:id="203"/>
      <w:bookmarkEnd w:id="204"/>
      <w:bookmarkEnd w:id="205"/>
      <w:bookmarkEnd w:id="206"/>
      <w:bookmarkEnd w:id="207"/>
      <w:r>
        <w:rPr>
          <w:rFonts w:hint="eastAsia" w:ascii="Times New Roman" w:hAnsi="Times New Roman" w:eastAsia="仿宋_GB2312" w:cs="Times New Roman"/>
          <w:b/>
          <w:bCs/>
          <w:kern w:val="0"/>
          <w:sz w:val="32"/>
          <w:szCs w:val="32"/>
          <w:lang w:val="en-US" w:eastAsia="zh-CN" w:bidi="ar"/>
        </w:rPr>
        <w:t>。</w:t>
      </w:r>
      <w:r>
        <w:rPr>
          <w:rFonts w:hint="default" w:ascii="Times New Roman" w:hAnsi="Times New Roman" w:eastAsia="仿宋_GB2312" w:cs="Times New Roman"/>
          <w:sz w:val="32"/>
          <w:szCs w:val="32"/>
          <w:lang w:val="en-US" w:eastAsia="zh-CN"/>
        </w:rPr>
        <w:t>持续深化再生资源回收体系与生活垃圾分类收运体系深度融合，实现设施共享、人员共用、模式互通、效能倍增。一是推进场地设施融合，在新建、改扩建垃圾分类设施时，同步配套建设再生资源专属回收区域，实现“一场两用、功能复合”，最大化盘活公共环卫设施资源。二是推进作业人员融合，开展垃圾分类督导、再生资源回收一体化专业培训，推动一线人员一岗多能，同步承担分类指导、资源归集、日常管护等工作，提升人力资源利用效率。三是推进收运模式融合，整合定时定点收运、线上预约收运、上门专属收运服务，建立全区统一收运调度机制，结合社区、景区、乡村、渔港等不同场景差异化优化收运频次，保障再生资源日产日清、及时转运、高效处置。</w:t>
      </w:r>
      <w:bookmarkEnd w:id="208"/>
      <w:bookmarkStart w:id="209" w:name="_Toc23026"/>
      <w:bookmarkStart w:id="210" w:name="_Toc31482"/>
      <w:bookmarkStart w:id="211" w:name="_Toc17757"/>
      <w:bookmarkStart w:id="212" w:name="_Toc9285"/>
      <w:bookmarkStart w:id="213" w:name="_Toc15917"/>
      <w:bookmarkStart w:id="214" w:name="_Toc23178"/>
      <w:bookmarkStart w:id="215" w:name="_Toc24244"/>
      <w:bookmarkStart w:id="216" w:name="_Toc2507"/>
      <w:bookmarkStart w:id="217" w:name="_Toc18340"/>
    </w:p>
    <w:p>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60" w:lineRule="exact"/>
        <w:ind w:firstLine="643" w:firstLineChars="200"/>
        <w:jc w:val="both"/>
        <w:textAlignment w:val="auto"/>
        <w:outlineLvl w:val="3"/>
        <w:rPr>
          <w:rFonts w:hint="default" w:ascii="Times New Roman" w:hAnsi="Times New Roman" w:eastAsia="仿宋_GB2312" w:cs="Times New Roman"/>
          <w:sz w:val="32"/>
          <w:szCs w:val="32"/>
          <w:lang w:val="en-US" w:eastAsia="zh-CN"/>
        </w:rPr>
        <w:sectPr>
          <w:pgSz w:w="11905" w:h="16838"/>
          <w:pgMar w:top="2098" w:right="1474" w:bottom="1984" w:left="1587" w:header="851" w:footer="992" w:gutter="0"/>
          <w:pgNumType w:fmt="decimal"/>
          <w:cols w:space="0" w:num="1"/>
          <w:rtlGutter w:val="0"/>
          <w:docGrid w:type="lines" w:linePitch="439" w:charSpace="0"/>
        </w:sectPr>
      </w:pPr>
      <w:bookmarkStart w:id="218" w:name="_Toc15196"/>
      <w:r>
        <w:rPr>
          <w:rFonts w:hint="eastAsia" w:ascii="Times New Roman" w:hAnsi="Times New Roman" w:eastAsia="仿宋_GB2312" w:cs="Times New Roman"/>
          <w:b/>
          <w:bCs/>
          <w:kern w:val="0"/>
          <w:sz w:val="32"/>
          <w:szCs w:val="32"/>
          <w:lang w:val="en-US" w:eastAsia="zh-CN" w:bidi="ar"/>
        </w:rPr>
        <w:t>强化数字监管，保障布局落地</w:t>
      </w:r>
      <w:bookmarkEnd w:id="209"/>
      <w:bookmarkEnd w:id="210"/>
      <w:bookmarkEnd w:id="211"/>
      <w:bookmarkEnd w:id="212"/>
      <w:bookmarkEnd w:id="213"/>
      <w:bookmarkEnd w:id="214"/>
      <w:bookmarkEnd w:id="215"/>
      <w:bookmarkEnd w:id="216"/>
      <w:bookmarkEnd w:id="217"/>
      <w:r>
        <w:rPr>
          <w:rFonts w:hint="eastAsia" w:ascii="Times New Roman" w:hAnsi="Times New Roman" w:eastAsia="仿宋_GB2312" w:cs="Times New Roman"/>
          <w:b/>
          <w:bCs/>
          <w:kern w:val="0"/>
          <w:sz w:val="32"/>
          <w:szCs w:val="32"/>
          <w:lang w:val="en-US" w:eastAsia="zh-CN" w:bidi="ar"/>
        </w:rPr>
        <w:t>。</w:t>
      </w:r>
      <w:r>
        <w:rPr>
          <w:rFonts w:hint="default" w:ascii="Times New Roman" w:hAnsi="Times New Roman" w:eastAsia="仿宋_GB2312" w:cs="Times New Roman"/>
          <w:sz w:val="32"/>
          <w:szCs w:val="32"/>
          <w:lang w:val="en-US" w:eastAsia="zh-CN"/>
        </w:rPr>
        <w:t>依托数字化、智能化技术创新监管模式，构建全流程、可视化、可溯源的智慧管控体系，保障回收体系规范长效运行。一是推广便民智慧回收模式，搭建线上预约回收服务平台，依托微信小程序、预约热线等渠道，为居民、商户提供便捷上门回收服务，全面提升群众参与度与回收便捷性。二是布设智能化回收终端，在旅游景区、高端酒店、渔港码头等重点产废区域布局智能回收柜，配套专职运维人员，实现旅游废弃物、渔业废弃物等特色资源精准分类、实时归集。三是搭建区级智慧监管平台，整合网点运维、车辆调度、数据统计、溯源管控、报表分析等核心功能，全域接入所有固定交投点、片区中转站、区级分拣中心运营数据，实现再生资源回收、中转、处置全流程动态监管、闭环管控，为行业精细化治理、科学决策提供坚实的数据支撑。</w:t>
      </w:r>
      <w:bookmarkEnd w:id="218"/>
    </w:p>
    <w:p>
      <w:pPr>
        <w:keepNext w:val="0"/>
        <w:keepLines w:val="0"/>
        <w:pageBreakBefore w:val="0"/>
        <w:widowControl w:val="0"/>
        <w:kinsoku/>
        <w:wordWrap/>
        <w:overflowPunct/>
        <w:topLinePunct w:val="0"/>
        <w:autoSpaceDE/>
        <w:autoSpaceDN/>
        <w:bidi w:val="0"/>
        <w:adjustRightInd w:val="0"/>
        <w:snapToGrid w:val="0"/>
        <w:spacing w:before="0" w:after="0" w:line="560" w:lineRule="exact"/>
        <w:ind w:firstLine="0" w:firstLineChars="0"/>
        <w:jc w:val="center"/>
        <w:textAlignment w:val="auto"/>
        <w:outlineLvl w:val="1"/>
        <w:rPr>
          <w:rFonts w:hint="default" w:ascii="Times New Roman" w:hAnsi="Times New Roman" w:eastAsia="仿宋_GB2312" w:cs="Times New Roman"/>
          <w:sz w:val="32"/>
          <w:szCs w:val="32"/>
        </w:rPr>
      </w:pPr>
      <w:bookmarkStart w:id="219" w:name="_Toc9988"/>
      <w:r>
        <w:rPr>
          <w:rFonts w:hint="eastAsia" w:eastAsia="黑体"/>
          <w:bCs/>
          <w:kern w:val="44"/>
          <w:sz w:val="32"/>
          <w:szCs w:val="44"/>
          <w:lang w:val="en-US" w:eastAsia="zh-CN"/>
        </w:rPr>
        <w:t>第五章  多措并举构建保障体系</w:t>
      </w:r>
      <w:bookmarkEnd w:id="219"/>
    </w:p>
    <w:p>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60" w:lineRule="exact"/>
        <w:ind w:firstLine="643" w:firstLineChars="200"/>
        <w:jc w:val="both"/>
        <w:textAlignment w:val="auto"/>
        <w:outlineLvl w:val="3"/>
        <w:rPr>
          <w:rFonts w:hint="default" w:ascii="Times New Roman" w:hAnsi="Times New Roman" w:eastAsia="仿宋_GB2312" w:cs="Times New Roman"/>
          <w:b w:val="0"/>
          <w:bCs w:val="0"/>
          <w:kern w:val="0"/>
          <w:sz w:val="32"/>
          <w:szCs w:val="32"/>
          <w:lang w:val="en-US" w:eastAsia="zh-CN" w:bidi="ar"/>
        </w:rPr>
      </w:pPr>
      <w:bookmarkStart w:id="220" w:name="_Toc24294"/>
      <w:r>
        <w:rPr>
          <w:rFonts w:hint="eastAsia" w:ascii="Times New Roman" w:hAnsi="Times New Roman" w:eastAsia="仿宋_GB2312" w:cs="Times New Roman"/>
          <w:b/>
          <w:bCs/>
          <w:kern w:val="0"/>
          <w:sz w:val="32"/>
          <w:szCs w:val="32"/>
          <w:lang w:val="en-US" w:eastAsia="zh-CN" w:bidi="ar"/>
        </w:rPr>
        <w:t>强化组织统筹，健全协同治理机制。</w:t>
      </w:r>
      <w:r>
        <w:rPr>
          <w:rFonts w:hint="default" w:ascii="Times New Roman" w:hAnsi="Times New Roman" w:eastAsia="仿宋_GB2312" w:cs="Times New Roman"/>
          <w:b w:val="0"/>
          <w:bCs w:val="0"/>
          <w:kern w:val="0"/>
          <w:sz w:val="32"/>
          <w:szCs w:val="32"/>
          <w:lang w:val="en-US" w:eastAsia="zh-CN" w:bidi="ar"/>
        </w:rPr>
        <w:t>一是成立区级专项领导小组，由区分管领导牵头、区商务局牵头抓总，各职能部门、街道及村（社区）协同参与，实行月度调度、清单管理、销号闭环。二是明晰部门、属地职责，商务统筹行业全流程管理，资规负责用地与选址审核，生态环境管控和污染防治，综合执法、公安开展行业整治，农业、文旅、渔业分别统筹产业废弃物回收，属地负责日常巡查与基层动员。三是落实片区三级包保制度，按中转站覆盖范围划分责任片区，全程跟进网点改造、违规点位清退，实现全域监管无死角。</w:t>
      </w:r>
      <w:bookmarkEnd w:id="220"/>
    </w:p>
    <w:p>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60" w:lineRule="exact"/>
        <w:ind w:firstLine="643" w:firstLineChars="200"/>
        <w:jc w:val="both"/>
        <w:textAlignment w:val="auto"/>
        <w:outlineLvl w:val="3"/>
        <w:rPr>
          <w:rFonts w:hint="default" w:ascii="Times New Roman" w:hAnsi="Times New Roman" w:eastAsia="仿宋_GB2312" w:cs="Times New Roman"/>
          <w:sz w:val="32"/>
          <w:szCs w:val="32"/>
        </w:rPr>
      </w:pPr>
      <w:bookmarkStart w:id="221" w:name="_Toc28700"/>
      <w:r>
        <w:rPr>
          <w:rFonts w:hint="eastAsia" w:ascii="Times New Roman" w:hAnsi="Times New Roman" w:eastAsia="仿宋_GB2312" w:cs="Times New Roman"/>
          <w:b/>
          <w:bCs/>
          <w:kern w:val="0"/>
          <w:sz w:val="32"/>
          <w:szCs w:val="32"/>
          <w:lang w:val="en-US" w:eastAsia="zh-CN" w:bidi="ar"/>
        </w:rPr>
        <w:t>强化要素支撑，破除项目落地堵点。</w:t>
      </w:r>
      <w:r>
        <w:rPr>
          <w:rFonts w:hint="default" w:ascii="Times New Roman" w:hAnsi="Times New Roman" w:eastAsia="仿宋_GB2312" w:cs="Times New Roman"/>
          <w:sz w:val="32"/>
          <w:szCs w:val="32"/>
          <w:lang w:val="en-US" w:eastAsia="zh-CN"/>
        </w:rPr>
        <w:t>一是</w:t>
      </w:r>
      <w:r>
        <w:rPr>
          <w:rFonts w:hint="default" w:ascii="Times New Roman" w:hAnsi="Times New Roman" w:eastAsia="仿宋_GB2312" w:cs="Times New Roman"/>
          <w:sz w:val="32"/>
          <w:szCs w:val="32"/>
        </w:rPr>
        <w:t>出台区级专项扶持政策，对标准化网点改造、中转站低值可回收物运营、智能回收设备、龙头一体化企业分类给予补助、税收奖补。</w:t>
      </w:r>
      <w:r>
        <w:rPr>
          <w:rFonts w:hint="default" w:ascii="Times New Roman" w:hAnsi="Times New Roman" w:eastAsia="仿宋_GB2312" w:cs="Times New Roman"/>
          <w:sz w:val="32"/>
          <w:szCs w:val="32"/>
          <w:lang w:val="en-US" w:eastAsia="zh-CN"/>
        </w:rPr>
        <w:t>二是</w:t>
      </w:r>
      <w:r>
        <w:rPr>
          <w:rFonts w:hint="default" w:ascii="Times New Roman" w:hAnsi="Times New Roman" w:eastAsia="仿宋_GB2312" w:cs="Times New Roman"/>
          <w:sz w:val="32"/>
          <w:szCs w:val="32"/>
        </w:rPr>
        <w:t>多元筹措资金，将体系建设经费纳入区级财政预算，积极争取上级循环经济、无废岛专项资金，通过特许经营、集体场地合作引入社会资本。</w:t>
      </w:r>
      <w:r>
        <w:rPr>
          <w:rFonts w:hint="default" w:ascii="Times New Roman" w:hAnsi="Times New Roman" w:eastAsia="仿宋_GB2312" w:cs="Times New Roman"/>
          <w:sz w:val="32"/>
          <w:szCs w:val="32"/>
          <w:lang w:val="en-US" w:eastAsia="zh-CN"/>
        </w:rPr>
        <w:t>三是</w:t>
      </w:r>
      <w:r>
        <w:rPr>
          <w:rFonts w:hint="default" w:ascii="Times New Roman" w:hAnsi="Times New Roman" w:eastAsia="仿宋_GB2312" w:cs="Times New Roman"/>
          <w:sz w:val="32"/>
          <w:szCs w:val="32"/>
        </w:rPr>
        <w:t>统筹回收设施纳入城乡公共配套规划，盘活闲置厂房、环卫用地；开设项目审批绿色通道，严格执行选址禁限建管控，从源头杜绝违规布点。</w:t>
      </w:r>
      <w:bookmarkEnd w:id="221"/>
    </w:p>
    <w:p>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60" w:lineRule="exact"/>
        <w:ind w:firstLine="643" w:firstLineChars="200"/>
        <w:jc w:val="both"/>
        <w:textAlignment w:val="auto"/>
        <w:outlineLvl w:val="3"/>
        <w:rPr>
          <w:rFonts w:hint="default" w:ascii="Times New Roman" w:hAnsi="Times New Roman" w:eastAsia="仿宋_GB2312" w:cs="Times New Roman"/>
          <w:sz w:val="32"/>
          <w:szCs w:val="32"/>
        </w:rPr>
      </w:pPr>
      <w:bookmarkStart w:id="222" w:name="_Toc21907"/>
      <w:r>
        <w:rPr>
          <w:rFonts w:hint="eastAsia" w:ascii="Times New Roman" w:hAnsi="Times New Roman" w:eastAsia="仿宋_GB2312" w:cs="Times New Roman"/>
          <w:b/>
          <w:bCs/>
          <w:kern w:val="0"/>
          <w:sz w:val="32"/>
          <w:szCs w:val="32"/>
          <w:lang w:val="en-US" w:eastAsia="zh-CN" w:bidi="ar"/>
        </w:rPr>
        <w:t>强化监管执法，规范行业经营秩序。</w:t>
      </w:r>
      <w:r>
        <w:rPr>
          <w:rFonts w:hint="default" w:ascii="Times New Roman" w:hAnsi="Times New Roman" w:eastAsia="仿宋_GB2312" w:cs="Times New Roman"/>
          <w:sz w:val="32"/>
          <w:szCs w:val="32"/>
          <w:lang w:val="en-US" w:eastAsia="zh-CN"/>
        </w:rPr>
        <w:t>一是</w:t>
      </w:r>
      <w:r>
        <w:rPr>
          <w:rFonts w:hint="default" w:ascii="Times New Roman" w:hAnsi="Times New Roman" w:eastAsia="仿宋_GB2312" w:cs="Times New Roman"/>
          <w:sz w:val="32"/>
          <w:szCs w:val="32"/>
        </w:rPr>
        <w:t>建立月度多部门联合巡查机制，旅游旺季加密检查，严厉查处无证经营、违规选址、露天堆存、台账缺失、占道经营等行为。</w:t>
      </w:r>
      <w:r>
        <w:rPr>
          <w:rFonts w:hint="default" w:ascii="Times New Roman" w:hAnsi="Times New Roman" w:eastAsia="仿宋_GB2312" w:cs="Times New Roman"/>
          <w:sz w:val="32"/>
          <w:szCs w:val="32"/>
          <w:lang w:val="en-US" w:eastAsia="zh-CN"/>
        </w:rPr>
        <w:t>二是</w:t>
      </w:r>
      <w:r>
        <w:rPr>
          <w:rFonts w:hint="default" w:ascii="Times New Roman" w:hAnsi="Times New Roman" w:eastAsia="仿宋_GB2312" w:cs="Times New Roman"/>
          <w:sz w:val="32"/>
          <w:szCs w:val="32"/>
        </w:rPr>
        <w:t>分类处置存量站点</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合规点位限期标准化改造；轻微违规点位限期整改销号；重大隐患、选址违规站点依法关停清退，建立行业黑名单，失信主体三年内禁止从业。</w:t>
      </w:r>
      <w:r>
        <w:rPr>
          <w:rFonts w:hint="default" w:ascii="Times New Roman" w:hAnsi="Times New Roman" w:eastAsia="仿宋_GB2312" w:cs="Times New Roman"/>
          <w:sz w:val="32"/>
          <w:szCs w:val="32"/>
          <w:lang w:val="en-US" w:eastAsia="zh-CN"/>
        </w:rPr>
        <w:t>三是</w:t>
      </w:r>
      <w:r>
        <w:rPr>
          <w:rFonts w:hint="default" w:ascii="Times New Roman" w:hAnsi="Times New Roman" w:eastAsia="仿宋_GB2312" w:cs="Times New Roman"/>
          <w:sz w:val="32"/>
          <w:szCs w:val="32"/>
        </w:rPr>
        <w:t>落实经营备案、电子台账留存三年、废旧金属实名登记制度；畅通群众监督渠道，实行投诉 24 小时响应处置，构建多元共治格局。</w:t>
      </w:r>
      <w:bookmarkEnd w:id="222"/>
    </w:p>
    <w:p>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60" w:lineRule="exact"/>
        <w:ind w:firstLine="643" w:firstLineChars="200"/>
        <w:jc w:val="both"/>
        <w:textAlignment w:val="auto"/>
        <w:outlineLvl w:val="3"/>
        <w:rPr>
          <w:rFonts w:hint="default" w:ascii="Times New Roman" w:hAnsi="Times New Roman" w:eastAsia="仿宋_GB2312" w:cs="Times New Roman"/>
          <w:sz w:val="32"/>
          <w:szCs w:val="32"/>
        </w:rPr>
      </w:pPr>
      <w:bookmarkStart w:id="223" w:name="_Toc20183"/>
      <w:r>
        <w:rPr>
          <w:rFonts w:hint="eastAsia" w:ascii="Times New Roman" w:hAnsi="Times New Roman" w:eastAsia="仿宋_GB2312" w:cs="Times New Roman"/>
          <w:b/>
          <w:bCs/>
          <w:kern w:val="0"/>
          <w:sz w:val="32"/>
          <w:szCs w:val="32"/>
          <w:lang w:val="en-US" w:eastAsia="zh-CN" w:bidi="ar"/>
        </w:rPr>
        <w:t>强化数字赋能，搭建智慧管控体系。</w:t>
      </w:r>
      <w:r>
        <w:rPr>
          <w:rFonts w:hint="default" w:ascii="Times New Roman" w:hAnsi="Times New Roman" w:eastAsia="仿宋_GB2312" w:cs="Times New Roman"/>
          <w:sz w:val="32"/>
          <w:szCs w:val="32"/>
          <w:lang w:val="en-US" w:eastAsia="zh-CN"/>
        </w:rPr>
        <w:t>一是</w:t>
      </w:r>
      <w:r>
        <w:rPr>
          <w:rFonts w:hint="default" w:ascii="Times New Roman" w:hAnsi="Times New Roman" w:eastAsia="仿宋_GB2312" w:cs="Times New Roman"/>
          <w:sz w:val="32"/>
          <w:szCs w:val="32"/>
        </w:rPr>
        <w:t>建成区级智慧监管平台，集成网点管理、收运调度、数据统计、视频监控、风险预警功能，实现三级回收设施数据联网、异常自动预警。</w:t>
      </w:r>
      <w:r>
        <w:rPr>
          <w:rFonts w:hint="default" w:ascii="Times New Roman" w:hAnsi="Times New Roman" w:eastAsia="仿宋_GB2312" w:cs="Times New Roman"/>
          <w:sz w:val="32"/>
          <w:szCs w:val="32"/>
          <w:lang w:val="en-US" w:eastAsia="zh-CN"/>
        </w:rPr>
        <w:t>二是</w:t>
      </w:r>
      <w:r>
        <w:rPr>
          <w:rFonts w:hint="default" w:ascii="Times New Roman" w:hAnsi="Times New Roman" w:eastAsia="仿宋_GB2312" w:cs="Times New Roman"/>
          <w:sz w:val="32"/>
          <w:szCs w:val="32"/>
        </w:rPr>
        <w:t>标准化站点配齐监控、智能地磅、电子台账终端，收运车辆加装 GPS，全程管控转运作业，杜绝运输二次污染。</w:t>
      </w:r>
      <w:r>
        <w:rPr>
          <w:rFonts w:hint="default" w:ascii="Times New Roman" w:hAnsi="Times New Roman" w:eastAsia="仿宋_GB2312" w:cs="Times New Roman"/>
          <w:sz w:val="32"/>
          <w:szCs w:val="32"/>
          <w:lang w:val="en-US" w:eastAsia="zh-CN"/>
        </w:rPr>
        <w:t>三是</w:t>
      </w:r>
      <w:r>
        <w:rPr>
          <w:rFonts w:hint="default" w:ascii="Times New Roman" w:hAnsi="Times New Roman" w:eastAsia="仿宋_GB2312" w:cs="Times New Roman"/>
          <w:sz w:val="32"/>
          <w:szCs w:val="32"/>
        </w:rPr>
        <w:t>上线线上预约回收小程序，对接市级监管及垃圾分类平台，依托大数据优化网点布局与行业管理。</w:t>
      </w:r>
      <w:bookmarkEnd w:id="223"/>
    </w:p>
    <w:p>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60" w:lineRule="exact"/>
        <w:ind w:firstLine="643" w:firstLineChars="200"/>
        <w:jc w:val="both"/>
        <w:textAlignment w:val="auto"/>
        <w:outlineLvl w:val="3"/>
        <w:rPr>
          <w:rFonts w:hint="default" w:ascii="Times New Roman" w:hAnsi="Times New Roman" w:eastAsia="仿宋_GB2312" w:cs="Times New Roman"/>
          <w:sz w:val="32"/>
          <w:szCs w:val="32"/>
        </w:rPr>
      </w:pPr>
      <w:bookmarkStart w:id="224" w:name="_Toc18248"/>
      <w:r>
        <w:rPr>
          <w:rFonts w:hint="eastAsia" w:ascii="Times New Roman" w:hAnsi="Times New Roman" w:eastAsia="仿宋_GB2312" w:cs="Times New Roman"/>
          <w:b/>
          <w:bCs/>
          <w:kern w:val="0"/>
          <w:sz w:val="32"/>
          <w:szCs w:val="32"/>
          <w:lang w:val="en-US" w:eastAsia="zh-CN" w:bidi="ar"/>
        </w:rPr>
        <w:t>强化人才支撑，夯实运营管理基础。</w:t>
      </w:r>
      <w:r>
        <w:rPr>
          <w:rFonts w:hint="default" w:ascii="Times New Roman" w:hAnsi="Times New Roman" w:eastAsia="仿宋_GB2312" w:cs="Times New Roman"/>
          <w:sz w:val="32"/>
          <w:szCs w:val="32"/>
          <w:lang w:val="en-US" w:eastAsia="zh-CN"/>
        </w:rPr>
        <w:t>一是</w:t>
      </w:r>
      <w:r>
        <w:rPr>
          <w:rFonts w:hint="default" w:ascii="Times New Roman" w:hAnsi="Times New Roman" w:eastAsia="仿宋_GB2312" w:cs="Times New Roman"/>
          <w:sz w:val="32"/>
          <w:szCs w:val="32"/>
        </w:rPr>
        <w:t>每年开展不少于两轮分层专项培训，覆盖经营主体、一线从业人员、基层网格员，执行持证上岗制度。</w:t>
      </w:r>
      <w:r>
        <w:rPr>
          <w:rFonts w:hint="default" w:ascii="Times New Roman" w:hAnsi="Times New Roman" w:eastAsia="仿宋_GB2312" w:cs="Times New Roman"/>
          <w:sz w:val="32"/>
          <w:szCs w:val="32"/>
          <w:lang w:val="en-US" w:eastAsia="zh-CN"/>
        </w:rPr>
        <w:t>二是</w:t>
      </w:r>
      <w:r>
        <w:rPr>
          <w:rFonts w:hint="default" w:ascii="Times New Roman" w:hAnsi="Times New Roman" w:eastAsia="仿宋_GB2312" w:cs="Times New Roman"/>
          <w:sz w:val="32"/>
          <w:szCs w:val="32"/>
        </w:rPr>
        <w:t>配齐区级专职业务人员，引导龙头企业引进循环经济、环保治理专业技术人才。</w:t>
      </w:r>
      <w:r>
        <w:rPr>
          <w:rFonts w:hint="default" w:ascii="Times New Roman" w:hAnsi="Times New Roman" w:eastAsia="仿宋_GB2312" w:cs="Times New Roman"/>
          <w:sz w:val="32"/>
          <w:szCs w:val="32"/>
          <w:lang w:val="en-US" w:eastAsia="zh-CN"/>
        </w:rPr>
        <w:t>三是</w:t>
      </w:r>
      <w:r>
        <w:rPr>
          <w:rFonts w:hint="default" w:ascii="Times New Roman" w:hAnsi="Times New Roman" w:eastAsia="仿宋_GB2312" w:cs="Times New Roman"/>
          <w:sz w:val="32"/>
          <w:szCs w:val="32"/>
        </w:rPr>
        <w:t>督促企业落实劳保、工伤保险，开展年度评优激励，稳定从业队伍。</w:t>
      </w:r>
      <w:bookmarkEnd w:id="224"/>
    </w:p>
    <w:p>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60" w:lineRule="exact"/>
        <w:ind w:firstLine="643" w:firstLineChars="200"/>
        <w:jc w:val="both"/>
        <w:textAlignment w:val="auto"/>
        <w:outlineLvl w:val="3"/>
        <w:rPr>
          <w:rFonts w:hint="default" w:ascii="Times New Roman" w:hAnsi="Times New Roman" w:eastAsia="仿宋_GB2312" w:cs="Times New Roman"/>
          <w:sz w:val="32"/>
          <w:szCs w:val="32"/>
        </w:rPr>
      </w:pPr>
      <w:bookmarkStart w:id="225" w:name="_Toc19887"/>
      <w:r>
        <w:rPr>
          <w:rFonts w:hint="eastAsia" w:ascii="Times New Roman" w:hAnsi="Times New Roman" w:eastAsia="仿宋_GB2312" w:cs="Times New Roman"/>
          <w:b/>
          <w:bCs/>
          <w:kern w:val="0"/>
          <w:sz w:val="32"/>
          <w:szCs w:val="32"/>
          <w:lang w:val="en-US" w:eastAsia="zh-CN" w:bidi="ar"/>
        </w:rPr>
        <w:t>强化宣传引导，营造全民参与氛围。</w:t>
      </w:r>
      <w:r>
        <w:rPr>
          <w:rFonts w:hint="default" w:ascii="Times New Roman" w:hAnsi="Times New Roman" w:eastAsia="仿宋_GB2312" w:cs="Times New Roman"/>
          <w:sz w:val="32"/>
          <w:szCs w:val="32"/>
        </w:rPr>
        <w:t>分场景精准开展宣传：面向居民普及便民回收渠道；面向文旅、农业、渔业经营主体宣讲产业固废回收要求；打造标准化示范点位科普阵地；依托官方新媒体常态化宣传</w:t>
      </w:r>
      <w:r>
        <w:rPr>
          <w:rFonts w:hint="default" w:ascii="Times New Roman" w:hAnsi="Times New Roman" w:eastAsia="仿宋_GB2312" w:cs="Times New Roman"/>
          <w:sz w:val="32"/>
          <w:szCs w:val="32"/>
          <w:lang w:eastAsia="zh-CN"/>
        </w:rPr>
        <w:t>“无废城市”</w:t>
      </w:r>
      <w:r>
        <w:rPr>
          <w:rFonts w:hint="default" w:ascii="Times New Roman" w:hAnsi="Times New Roman" w:eastAsia="仿宋_GB2312" w:cs="Times New Roman"/>
          <w:sz w:val="32"/>
          <w:szCs w:val="32"/>
        </w:rPr>
        <w:t>、低碳循环理念。</w:t>
      </w:r>
      <w:bookmarkEnd w:id="225"/>
    </w:p>
    <w:p>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60" w:lineRule="exact"/>
        <w:ind w:firstLine="643" w:firstLineChars="200"/>
        <w:jc w:val="both"/>
        <w:textAlignment w:val="auto"/>
        <w:outlineLvl w:val="3"/>
        <w:rPr>
          <w:rFonts w:hint="default"/>
          <w:lang w:val="en-US" w:eastAsia="zh-CN"/>
        </w:rPr>
      </w:pPr>
      <w:bookmarkStart w:id="226" w:name="_Toc22007"/>
      <w:r>
        <w:rPr>
          <w:rFonts w:hint="eastAsia" w:ascii="Times New Roman" w:hAnsi="Times New Roman" w:eastAsia="仿宋_GB2312" w:cs="Times New Roman"/>
          <w:b/>
          <w:bCs/>
          <w:kern w:val="0"/>
          <w:sz w:val="32"/>
          <w:szCs w:val="32"/>
          <w:lang w:val="en-US" w:eastAsia="zh-CN" w:bidi="ar"/>
        </w:rPr>
        <w:t>强化考核督导，建立长效管控机制。</w:t>
      </w:r>
      <w:r>
        <w:rPr>
          <w:rFonts w:hint="default" w:ascii="Times New Roman" w:hAnsi="Times New Roman" w:eastAsia="仿宋_GB2312" w:cs="Times New Roman"/>
          <w:sz w:val="32"/>
          <w:szCs w:val="32"/>
          <w:lang w:val="en-US" w:eastAsia="zh-CN"/>
        </w:rPr>
        <w:t>一是</w:t>
      </w:r>
      <w:r>
        <w:rPr>
          <w:rFonts w:hint="default" w:ascii="Times New Roman" w:hAnsi="Times New Roman" w:eastAsia="仿宋_GB2312" w:cs="Times New Roman"/>
          <w:sz w:val="32"/>
          <w:szCs w:val="32"/>
        </w:rPr>
        <w:t>将回收体系建设、点位规范、整改落实、两网融合成效纳入街道、村（社区）年度绩效考核及文明城市、</w:t>
      </w:r>
      <w:r>
        <w:rPr>
          <w:rFonts w:hint="default" w:ascii="Times New Roman" w:hAnsi="Times New Roman" w:eastAsia="仿宋_GB2312" w:cs="Times New Roman"/>
          <w:sz w:val="32"/>
          <w:szCs w:val="32"/>
          <w:lang w:eastAsia="zh-CN"/>
        </w:rPr>
        <w:t>“无废细胞”</w:t>
      </w:r>
      <w:r>
        <w:rPr>
          <w:rFonts w:hint="default" w:ascii="Times New Roman" w:hAnsi="Times New Roman" w:eastAsia="仿宋_GB2312" w:cs="Times New Roman"/>
          <w:sz w:val="32"/>
          <w:szCs w:val="32"/>
        </w:rPr>
        <w:t>创建评价，滞后单位约谈督办。</w:t>
      </w:r>
      <w:r>
        <w:rPr>
          <w:rFonts w:hint="default" w:ascii="Times New Roman" w:hAnsi="Times New Roman" w:eastAsia="仿宋_GB2312" w:cs="Times New Roman"/>
          <w:sz w:val="32"/>
          <w:szCs w:val="32"/>
          <w:lang w:val="en-US" w:eastAsia="zh-CN"/>
        </w:rPr>
        <w:t>二是</w:t>
      </w:r>
      <w:r>
        <w:rPr>
          <w:rFonts w:hint="default" w:ascii="Times New Roman" w:hAnsi="Times New Roman" w:eastAsia="仿宋_GB2312" w:cs="Times New Roman"/>
          <w:sz w:val="32"/>
          <w:szCs w:val="32"/>
        </w:rPr>
        <w:t>每年对收运、中转运营主体开展综合考评，不合格限期整改，连续不达标取消运营资质与扶持政策。</w:t>
      </w:r>
      <w:r>
        <w:rPr>
          <w:rFonts w:hint="default" w:ascii="Times New Roman" w:hAnsi="Times New Roman" w:eastAsia="仿宋_GB2312" w:cs="Times New Roman"/>
          <w:sz w:val="32"/>
          <w:szCs w:val="32"/>
          <w:lang w:val="en-US" w:eastAsia="zh-CN"/>
        </w:rPr>
        <w:t>三是</w:t>
      </w:r>
      <w:r>
        <w:rPr>
          <w:rFonts w:hint="default" w:ascii="Times New Roman" w:hAnsi="Times New Roman" w:eastAsia="仿宋_GB2312" w:cs="Times New Roman"/>
          <w:sz w:val="32"/>
          <w:szCs w:val="32"/>
        </w:rPr>
        <w:t>每年委托第三方开展规划实施</w:t>
      </w:r>
      <w:r>
        <w:rPr>
          <w:rFonts w:hint="default" w:ascii="Times New Roman" w:hAnsi="Times New Roman" w:eastAsia="仿宋_GB2312" w:cs="Times New Roman"/>
          <w:sz w:val="32"/>
          <w:szCs w:val="32"/>
          <w:lang w:val="en-US" w:eastAsia="zh-CN"/>
        </w:rPr>
        <w:t>终期</w:t>
      </w:r>
      <w:r>
        <w:rPr>
          <w:rFonts w:hint="default" w:ascii="Times New Roman" w:hAnsi="Times New Roman" w:eastAsia="仿宋_GB2312" w:cs="Times New Roman"/>
          <w:sz w:val="32"/>
          <w:szCs w:val="32"/>
        </w:rPr>
        <w:t>成效评估，依据回收总量、资源回收率、网点达标率等指标动态优化布局与配套政策，保障规划目标如期实现。</w:t>
      </w:r>
      <w:bookmarkEnd w:id="226"/>
    </w:p>
    <w:sectPr>
      <w:footerReference r:id="rId5" w:type="default"/>
      <w:pgSz w:w="11906" w:h="16838"/>
      <w:pgMar w:top="2098" w:right="1474" w:bottom="1984" w:left="1587" w:header="851" w:footer="992" w:gutter="0"/>
      <w:pgNumType w:fmt="decimal"/>
      <w:cols w:space="0" w:num="1"/>
      <w:rtlGutter w:val="0"/>
      <w:docGrid w:type="lines" w:linePitch="43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5434C1A-3AAF-4743-9960-C921500F5D3D}"/>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2312">
    <w:altName w:val="仿宋"/>
    <w:panose1 w:val="02000000000000000000"/>
    <w:charset w:val="86"/>
    <w:family w:val="auto"/>
    <w:pitch w:val="default"/>
    <w:sig w:usb0="00000000" w:usb1="00000000" w:usb2="00000012" w:usb3="00000000" w:csb0="00040001" w:csb1="00000000"/>
  </w:font>
  <w:font w:name="方正公文小标宋">
    <w:panose1 w:val="02000500000000000000"/>
    <w:charset w:val="86"/>
    <w:family w:val="auto"/>
    <w:pitch w:val="default"/>
    <w:sig w:usb0="00000000" w:usb1="00000000" w:usb2="00000000" w:usb3="00000000" w:csb0="00000000" w:csb1="00000000"/>
    <w:embedRegular r:id="rId2" w:fontKey="{723265F2-A86B-4228-A2D4-EF0B2CA07877}"/>
  </w:font>
  <w:font w:name="楷体">
    <w:panose1 w:val="02010609060101010101"/>
    <w:charset w:val="86"/>
    <w:family w:val="auto"/>
    <w:pitch w:val="default"/>
    <w:sig w:usb0="800002BF" w:usb1="38CF7CFA" w:usb2="00000016" w:usb3="00000000" w:csb0="00040001" w:csb1="00000000"/>
    <w:embedRegular r:id="rId3" w:fontKey="{2CDF524D-F28A-439F-8636-B99BECDBE865}"/>
  </w:font>
  <w:font w:name="Noto Sans Mono CJK JP Regular">
    <w:altName w:val="Calibri"/>
    <w:panose1 w:val="00000000000000000000"/>
    <w:charset w:val="00"/>
    <w:family w:val="swiss"/>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4" w:fontKey="{4D01E6C7-9EB1-4084-A3DD-4C1738274B45}"/>
  </w:font>
  <w:font w:name="方正小标宋简体">
    <w:panose1 w:val="03000509000000000000"/>
    <w:charset w:val="86"/>
    <w:family w:val="auto"/>
    <w:pitch w:val="default"/>
    <w:sig w:usb0="00000001" w:usb1="080E0000" w:usb2="00000000" w:usb3="00000000" w:csb0="00040000" w:csb1="00000000"/>
    <w:embedRegular r:id="rId5" w:fontKey="{26166AFF-CF59-4C01-B411-F9835379BF1E}"/>
  </w:font>
  <w:font w:name="方正仿宋_GBK">
    <w:panose1 w:val="03000509000000000000"/>
    <w:charset w:val="86"/>
    <w:family w:val="auto"/>
    <w:pitch w:val="default"/>
    <w:sig w:usb0="00000001" w:usb1="080E0000" w:usb2="00000000" w:usb3="00000000" w:csb0="00040000" w:csb1="00000000"/>
    <w:embedRegular r:id="rId6" w:fontKey="{55B7058F-70BD-48A7-9299-C0E335EADDA6}"/>
  </w:font>
  <w:font w:name="华文楷体">
    <w:panose1 w:val="02010600040101010101"/>
    <w:charset w:val="86"/>
    <w:family w:val="auto"/>
    <w:pitch w:val="default"/>
    <w:sig w:usb0="00000000" w:usb1="00000000" w:usb2="00000000" w:usb3="00000000" w:csb0="00000000" w:csb1="00000000"/>
    <w:embedRegular r:id="rId7" w:fontKey="{A42604EF-A21C-4B08-8FF7-B31368FEDE31}"/>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rPr>
                        <w:rFonts w:hint="eastAsia"/>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KyQwkT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CyskMJEwIAABUEAAAOAAAAAAAAAAEA&#10;IAAAAB8BAABkcnMvZTJvRG9jLnhtbFBLBQYAAAAABgAGAFkBAACkBQAAAAA=&#10;">
              <v:fill on="f" focussize="0,0"/>
              <v:stroke on="f" weight="0.5pt"/>
              <v:imagedata o:title=""/>
              <o:lock v:ext="edit" aspectratio="f"/>
              <v:textbox inset="0mm,0mm,0mm,0mm" style="mso-fit-shape-to-text:t;">
                <w:txbxContent>
                  <w:p>
                    <w:pPr>
                      <w:pStyle w:val="1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VMiuIU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NUyK4hQCAAAVBAAADgAAAAAAAAAB&#10;ACAAAAAfAQAAZHJzL2Uyb0RvYy54bWxQSwUGAAAAAAYABgBZAQAApQUAAAAA&#10;">
              <v:fill on="f" focussize="0,0"/>
              <v:stroke on="f" weight="0.5pt"/>
              <v:imagedata o:title=""/>
              <o:lock v:ext="edit" aspectratio="f"/>
              <v:textbox inset="0mm,0mm,0mm,0mm" style="mso-fit-shape-to-text:t;">
                <w:txbxContent>
                  <w:p>
                    <w:pPr>
                      <w:rPr>
                        <w:rFonts w:hint="eastAsia"/>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57</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doX50UAgAAFQQAAA4AAABkcnMvZTJvRG9jLnhtbK1Ty47TMBTdI/EP&#10;lvc0aYFR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B2hfnRQCAAAVBAAADgAAAAAAAAAB&#10;ACAAAAAfAQAAZHJzL2Uyb0RvYy54bWxQSwUGAAAAAAYABgBZAQAApQUAAAAA&#10;">
              <v:fill on="f" focussize="0,0"/>
              <v:stroke on="f" weight="0.5pt"/>
              <v:imagedata o:title=""/>
              <o:lock v:ext="edit" aspectratio="f"/>
              <v:textbox inset="0mm,0mm,0mm,0mm" style="mso-fit-shape-to-text:t;">
                <w:txbxContent>
                  <w:p>
                    <w:pPr>
                      <w:pStyle w:val="1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57</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documentProtection w:enforcement="0"/>
  <w:defaultTabStop w:val="420"/>
  <w:drawingGridVerticalSpacing w:val="22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B4796F"/>
    <w:rsid w:val="02304F77"/>
    <w:rsid w:val="09A0299E"/>
    <w:rsid w:val="0C7F23AB"/>
    <w:rsid w:val="0DD0598D"/>
    <w:rsid w:val="13603A9C"/>
    <w:rsid w:val="16D77B7A"/>
    <w:rsid w:val="1A612CD6"/>
    <w:rsid w:val="1C1E6EE4"/>
    <w:rsid w:val="1CF263E5"/>
    <w:rsid w:val="1F8A3D15"/>
    <w:rsid w:val="22666E7A"/>
    <w:rsid w:val="22A662AC"/>
    <w:rsid w:val="237A4D31"/>
    <w:rsid w:val="24886B1B"/>
    <w:rsid w:val="254D53C2"/>
    <w:rsid w:val="26BF6F42"/>
    <w:rsid w:val="27941DB7"/>
    <w:rsid w:val="29F535BA"/>
    <w:rsid w:val="2C20687C"/>
    <w:rsid w:val="2C58072E"/>
    <w:rsid w:val="2CC91804"/>
    <w:rsid w:val="31B50213"/>
    <w:rsid w:val="34EA0CDC"/>
    <w:rsid w:val="36814164"/>
    <w:rsid w:val="369B31B3"/>
    <w:rsid w:val="39696199"/>
    <w:rsid w:val="3F1D4C7E"/>
    <w:rsid w:val="40C3539D"/>
    <w:rsid w:val="481C0D3A"/>
    <w:rsid w:val="49D13E57"/>
    <w:rsid w:val="4A1F5A74"/>
    <w:rsid w:val="4DF948E1"/>
    <w:rsid w:val="4F6B6FCC"/>
    <w:rsid w:val="53E056D5"/>
    <w:rsid w:val="55862925"/>
    <w:rsid w:val="5AE532D6"/>
    <w:rsid w:val="5E8905A6"/>
    <w:rsid w:val="5EC31060"/>
    <w:rsid w:val="60F9094E"/>
    <w:rsid w:val="626D2ADA"/>
    <w:rsid w:val="62A426E2"/>
    <w:rsid w:val="63585E05"/>
    <w:rsid w:val="64B4796F"/>
    <w:rsid w:val="693278B2"/>
    <w:rsid w:val="6C507FC1"/>
    <w:rsid w:val="6CB15E09"/>
    <w:rsid w:val="6F927776"/>
    <w:rsid w:val="7054733E"/>
    <w:rsid w:val="713C0516"/>
    <w:rsid w:val="79B9231F"/>
    <w:rsid w:val="79C058D6"/>
    <w:rsid w:val="7BF75B80"/>
    <w:rsid w:val="7C994872"/>
    <w:rsid w:val="7D451E75"/>
    <w:rsid w:val="7D8555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iPriority="1"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nhideWhenUsed/>
    <w:qFormat/>
    <w:uiPriority w:val="1"/>
    <w:pPr>
      <w:widowControl w:val="0"/>
      <w:autoSpaceDE/>
      <w:autoSpaceDN/>
      <w:adjustRightInd/>
      <w:spacing w:beforeLines="0" w:afterLines="0" w:line="560" w:lineRule="exact"/>
      <w:ind w:firstLine="916" w:firstLineChars="200"/>
      <w:jc w:val="both"/>
    </w:pPr>
    <w:rPr>
      <w:rFonts w:hint="default" w:ascii="Times New Roman" w:hAnsi="Times New Roman" w:eastAsia="方正仿宋_GB2312" w:cs="Times New Roman"/>
      <w:sz w:val="32"/>
      <w:szCs w:val="28"/>
    </w:rPr>
  </w:style>
  <w:style w:type="paragraph" w:styleId="3">
    <w:name w:val="heading 1"/>
    <w:basedOn w:val="1"/>
    <w:next w:val="1"/>
    <w:qFormat/>
    <w:uiPriority w:val="0"/>
    <w:pPr>
      <w:keepNext/>
      <w:keepLines/>
      <w:spacing w:before="50" w:beforeLines="50" w:beforeAutospacing="0" w:after="50" w:afterLines="50" w:afterAutospacing="0" w:line="360" w:lineRule="auto"/>
      <w:ind w:firstLine="0" w:firstLineChars="0"/>
      <w:jc w:val="center"/>
      <w:outlineLvl w:val="0"/>
    </w:pPr>
    <w:rPr>
      <w:rFonts w:eastAsia="方正公文小标宋" w:asciiTheme="minorAscii" w:hAnsiTheme="minorAscii"/>
      <w:kern w:val="44"/>
      <w:sz w:val="36"/>
    </w:rPr>
  </w:style>
  <w:style w:type="paragraph" w:styleId="4">
    <w:name w:val="heading 2"/>
    <w:basedOn w:val="1"/>
    <w:next w:val="1"/>
    <w:link w:val="19"/>
    <w:unhideWhenUsed/>
    <w:qFormat/>
    <w:uiPriority w:val="0"/>
    <w:pPr>
      <w:keepNext/>
      <w:keepLines/>
      <w:spacing w:before="50" w:beforeLines="50" w:beforeAutospacing="0" w:after="50" w:afterLines="50" w:afterAutospacing="0" w:line="360" w:lineRule="auto"/>
      <w:ind w:firstLine="0" w:firstLineChars="0"/>
      <w:jc w:val="both"/>
      <w:outlineLvl w:val="1"/>
    </w:pPr>
    <w:rPr>
      <w:rFonts w:eastAsia="黑体" w:cs="Times New Roman"/>
      <w:szCs w:val="24"/>
    </w:rPr>
  </w:style>
  <w:style w:type="paragraph" w:styleId="5">
    <w:name w:val="heading 3"/>
    <w:basedOn w:val="1"/>
    <w:next w:val="1"/>
    <w:link w:val="26"/>
    <w:unhideWhenUsed/>
    <w:qFormat/>
    <w:uiPriority w:val="0"/>
    <w:pPr>
      <w:spacing w:before="10" w:beforeAutospacing="0" w:after="10" w:afterAutospacing="0"/>
      <w:ind w:firstLine="883" w:firstLineChars="200"/>
      <w:jc w:val="both"/>
      <w:outlineLvl w:val="2"/>
    </w:pPr>
    <w:rPr>
      <w:rFonts w:ascii="宋体" w:hAnsi="宋体" w:eastAsia="楷体"/>
      <w:sz w:val="32"/>
      <w:szCs w:val="27"/>
    </w:rPr>
  </w:style>
  <w:style w:type="paragraph" w:styleId="6">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7">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character" w:default="1" w:styleId="17">
    <w:name w:val="Default Paragraph Font"/>
    <w:semiHidden/>
    <w:qFormat/>
    <w:uiPriority w:val="0"/>
  </w:style>
  <w:style w:type="table" w:default="1" w:styleId="16">
    <w:name w:val="Normal Table"/>
    <w:semiHidden/>
    <w:qFormat/>
    <w:uiPriority w:val="0"/>
    <w:tblPr>
      <w:tblLayout w:type="fixed"/>
      <w:tblCellMar>
        <w:top w:w="0" w:type="dxa"/>
        <w:left w:w="108" w:type="dxa"/>
        <w:bottom w:w="0" w:type="dxa"/>
        <w:right w:w="108" w:type="dxa"/>
      </w:tblCellMar>
    </w:tblPr>
  </w:style>
  <w:style w:type="paragraph" w:styleId="2">
    <w:name w:val="Normal Indent"/>
    <w:basedOn w:val="1"/>
    <w:next w:val="1"/>
    <w:unhideWhenUsed/>
    <w:qFormat/>
    <w:uiPriority w:val="0"/>
    <w:pPr>
      <w:spacing w:line="360" w:lineRule="auto"/>
      <w:ind w:firstLine="420"/>
    </w:pPr>
    <w:rPr>
      <w:rFonts w:ascii="Times New Roman" w:hAnsi="Times New Roman"/>
      <w:szCs w:val="20"/>
    </w:rPr>
  </w:style>
  <w:style w:type="paragraph" w:styleId="8">
    <w:name w:val="Body Text"/>
    <w:basedOn w:val="1"/>
    <w:unhideWhenUsed/>
    <w:qFormat/>
    <w:uiPriority w:val="1"/>
    <w:pPr>
      <w:spacing w:beforeLines="0" w:afterLines="0"/>
    </w:pPr>
    <w:rPr>
      <w:rFonts w:hint="eastAsia"/>
      <w:sz w:val="24"/>
      <w:szCs w:val="24"/>
    </w:rPr>
  </w:style>
  <w:style w:type="paragraph" w:styleId="9">
    <w:name w:val="toc 3"/>
    <w:basedOn w:val="1"/>
    <w:next w:val="1"/>
    <w:qFormat/>
    <w:uiPriority w:val="0"/>
    <w:pPr>
      <w:ind w:left="840" w:leftChars="400"/>
    </w:p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0"/>
    <w:pPr>
      <w:spacing w:line="400" w:lineRule="exact"/>
      <w:ind w:firstLine="0" w:firstLineChars="0"/>
    </w:pPr>
    <w:rPr>
      <w:rFonts w:ascii="Times New Roman" w:hAnsi="Times New Roman"/>
      <w:sz w:val="21"/>
    </w:rPr>
  </w:style>
  <w:style w:type="paragraph" w:styleId="13">
    <w:name w:val="toc 4"/>
    <w:basedOn w:val="1"/>
    <w:next w:val="1"/>
    <w:qFormat/>
    <w:uiPriority w:val="0"/>
    <w:pPr>
      <w:ind w:left="1260" w:leftChars="600"/>
    </w:pPr>
  </w:style>
  <w:style w:type="paragraph" w:styleId="14">
    <w:name w:val="toc 2"/>
    <w:basedOn w:val="1"/>
    <w:next w:val="1"/>
    <w:qFormat/>
    <w:uiPriority w:val="0"/>
    <w:pPr>
      <w:spacing w:line="400" w:lineRule="exact"/>
      <w:ind w:left="0" w:leftChars="0"/>
    </w:pPr>
    <w:rPr>
      <w:rFonts w:ascii="Times New Roman" w:hAnsi="Times New Roman"/>
      <w:sz w:val="21"/>
      <w:szCs w:val="21"/>
    </w:rPr>
  </w:style>
  <w:style w:type="paragraph" w:styleId="15">
    <w:name w:val="Normal (Web)"/>
    <w:basedOn w:val="1"/>
    <w:unhideWhenUsed/>
    <w:qFormat/>
    <w:uiPriority w:val="99"/>
    <w:pPr>
      <w:spacing w:before="100" w:beforeAutospacing="1" w:after="100" w:afterAutospacing="1"/>
    </w:pPr>
    <w:rPr>
      <w:rFonts w:ascii="宋体" w:hAnsi="宋体" w:eastAsia="宋体" w:cs="宋体"/>
      <w:sz w:val="24"/>
      <w:szCs w:val="24"/>
    </w:rPr>
  </w:style>
  <w:style w:type="character" w:styleId="18">
    <w:name w:val="Strong"/>
    <w:basedOn w:val="17"/>
    <w:qFormat/>
    <w:uiPriority w:val="0"/>
    <w:rPr>
      <w:b/>
    </w:rPr>
  </w:style>
  <w:style w:type="character" w:customStyle="1" w:styleId="19">
    <w:name w:val="标题 2 Char"/>
    <w:link w:val="4"/>
    <w:qFormat/>
    <w:uiPriority w:val="0"/>
    <w:rPr>
      <w:rFonts w:ascii="Times New Roman" w:hAnsi="Times New Roman" w:eastAsia="黑体" w:cs="Times New Roman"/>
      <w:sz w:val="32"/>
      <w:szCs w:val="24"/>
    </w:rPr>
  </w:style>
  <w:style w:type="paragraph" w:customStyle="1" w:styleId="20">
    <w:name w:val="Compact"/>
    <w:basedOn w:val="8"/>
    <w:qFormat/>
    <w:uiPriority w:val="0"/>
    <w:pPr>
      <w:spacing w:before="36" w:after="36"/>
    </w:pPr>
  </w:style>
  <w:style w:type="table" w:customStyle="1" w:styleId="21">
    <w:name w:val="Table"/>
    <w:semiHidden/>
    <w:unhideWhenUsed/>
    <w:qFormat/>
    <w:uiPriority w:val="0"/>
    <w:tblPr>
      <w:tblLayout w:type="fixed"/>
      <w:tblCellMar>
        <w:top w:w="0" w:type="dxa"/>
        <w:left w:w="108" w:type="dxa"/>
        <w:bottom w:w="0" w:type="dxa"/>
        <w:right w:w="108" w:type="dxa"/>
      </w:tblCellMar>
    </w:tblPr>
    <w:tblStylePr w:type="firstRow">
      <w:tcPr>
        <w:tcBorders>
          <w:bottom w:val="single" w:color="auto" w:sz="0" w:space="0"/>
        </w:tcBorders>
        <w:vAlign w:val="bottom"/>
      </w:tcPr>
    </w:tblStylePr>
  </w:style>
  <w:style w:type="paragraph" w:customStyle="1" w:styleId="22">
    <w:name w:val="First Paragraph"/>
    <w:basedOn w:val="8"/>
    <w:next w:val="8"/>
    <w:qFormat/>
    <w:uiPriority w:val="0"/>
  </w:style>
  <w:style w:type="paragraph" w:customStyle="1" w:styleId="23">
    <w:name w:val="HL一级"/>
    <w:basedOn w:val="15"/>
    <w:qFormat/>
    <w:uiPriority w:val="0"/>
    <w:pPr>
      <w:widowControl w:val="0"/>
      <w:shd w:val="clear" w:color="auto" w:fill="FFFFFF"/>
      <w:spacing w:before="0" w:beforeAutospacing="0" w:after="0" w:afterAutospacing="0" w:line="600" w:lineRule="exact"/>
      <w:ind w:firstLine="200" w:firstLineChars="200"/>
      <w:outlineLvl w:val="0"/>
    </w:pPr>
    <w:rPr>
      <w:rFonts w:ascii="黑体" w:hAnsi="黑体" w:eastAsia="黑体" w:cs="Noto Sans Mono CJK JP Regular"/>
      <w:b/>
      <w:bCs/>
      <w:color w:val="000000" w:themeColor="text1"/>
      <w:sz w:val="32"/>
      <w:szCs w:val="32"/>
      <w14:textFill>
        <w14:solidFill>
          <w14:schemeClr w14:val="tx1"/>
        </w14:solidFill>
      </w14:textFill>
    </w:rPr>
  </w:style>
  <w:style w:type="paragraph" w:customStyle="1" w:styleId="24">
    <w:name w:val="HL二级"/>
    <w:basedOn w:val="15"/>
    <w:qFormat/>
    <w:uiPriority w:val="0"/>
    <w:pPr>
      <w:widowControl w:val="0"/>
      <w:shd w:val="clear" w:color="auto" w:fill="FFFFFF"/>
      <w:spacing w:before="0" w:beforeAutospacing="0" w:after="0" w:afterAutospacing="0" w:line="600" w:lineRule="exact"/>
      <w:ind w:firstLine="200" w:firstLineChars="200"/>
      <w:outlineLvl w:val="1"/>
    </w:pPr>
    <w:rPr>
      <w:rFonts w:ascii="楷体_GB2312" w:hAnsi="黑体" w:eastAsia="楷体_GB2312" w:cs="Noto Sans Mono CJK JP Regular"/>
      <w:b/>
      <w:bCs/>
      <w:color w:val="000000" w:themeColor="text1"/>
      <w:sz w:val="32"/>
      <w:szCs w:val="32"/>
      <w14:textFill>
        <w14:solidFill>
          <w14:schemeClr w14:val="tx1"/>
        </w14:solidFill>
      </w14:textFill>
    </w:rPr>
  </w:style>
  <w:style w:type="paragraph" w:customStyle="1" w:styleId="25">
    <w:name w:val="HL三级"/>
    <w:basedOn w:val="15"/>
    <w:qFormat/>
    <w:uiPriority w:val="0"/>
    <w:pPr>
      <w:shd w:val="clear" w:color="auto" w:fill="FFFFFF"/>
      <w:spacing w:before="0" w:beforeAutospacing="0" w:after="0" w:afterAutospacing="0" w:line="600" w:lineRule="exact"/>
      <w:ind w:firstLine="200" w:firstLineChars="200"/>
      <w:outlineLvl w:val="2"/>
    </w:pPr>
    <w:rPr>
      <w:rFonts w:ascii="仿宋_GB2312" w:hAnsi="黑体" w:eastAsia="仿宋_GB2312" w:cs="Noto Sans Mono CJK JP Regular"/>
      <w:b/>
      <w:bCs/>
      <w:color w:val="000000" w:themeColor="text1"/>
      <w:sz w:val="32"/>
      <w:szCs w:val="32"/>
      <w14:textFill>
        <w14:solidFill>
          <w14:schemeClr w14:val="tx1"/>
        </w14:solidFill>
      </w14:textFill>
    </w:rPr>
  </w:style>
  <w:style w:type="character" w:customStyle="1" w:styleId="26">
    <w:name w:val="标题 3 Char"/>
    <w:link w:val="5"/>
    <w:qFormat/>
    <w:uiPriority w:val="0"/>
    <w:rPr>
      <w:rFonts w:ascii="宋体" w:hAnsi="宋体" w:eastAsia="楷体"/>
      <w:sz w:val="32"/>
      <w:szCs w:val="27"/>
    </w:rPr>
  </w:style>
  <w:style w:type="paragraph" w:customStyle="1" w:styleId="27">
    <w:name w:val="Default"/>
    <w:unhideWhenUsed/>
    <w:qFormat/>
    <w:uiPriority w:val="99"/>
    <w:pPr>
      <w:widowControl w:val="0"/>
      <w:autoSpaceDE w:val="0"/>
      <w:autoSpaceDN w:val="0"/>
      <w:adjustRightInd w:val="0"/>
      <w:spacing w:beforeLines="0" w:afterLines="0"/>
    </w:pPr>
    <w:rPr>
      <w:rFonts w:hint="eastAsia" w:ascii="Times New Roman" w:hAnsi="Times New Roman" w:eastAsia="Times New Roman" w:cs="Times New Roman"/>
      <w:color w:val="00000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affad6da-9dd2-44f1-be63-8c3543604bcd</errorID>
      <errorWord>程</errorWord>
      <group>L1_Word</group>
      <groupName>字词问题</groupName>
      <ability>L2_Typo</ability>
      <abilityName>字词错误</abilityName>
      <candidateList>
        <item>程中</item>
      </candidateList>
      <explain/>
      <paraID>6EE64419</paraID>
      <start>153</start>
      <end>154</end>
      <status>ignored</status>
      <modifiedWord/>
      <trackRevisions>false</trackRevisions>
    </reviewItem>
    <reviewItem>
      <errorID>3840f137-0215-4af0-9240-1d84faec5035</errorID>
      <errorWord>取中</errorWord>
      <group>L1_Word</group>
      <groupName>字词问题</groupName>
      <ability>L2_Typo</ability>
      <abilityName>字词错误</abilityName>
      <candidateList>
        <item>其中</item>
      </candidateList>
      <explain/>
      <paraID>1CFAD218</paraID>
      <start>43</start>
      <end>45</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0f0ffe3-dabc-4d64-97f7-adc62cf7909e}">
  <ds:schemaRefs/>
</ds:datastoreItem>
</file>

<file path=docProps/app.xml><?xml version="1.0" encoding="utf-8"?>
<Properties xmlns="http://schemas.openxmlformats.org/officeDocument/2006/extended-properties" xmlns:vt="http://schemas.openxmlformats.org/officeDocument/2006/docPropsVTypes">
  <Template>Normal.dotm</Template>
  <Pages>29</Pages>
  <Words>13625</Words>
  <Characters>14265</Characters>
  <Lines>0</Lines>
  <Paragraphs>0</Paragraphs>
  <TotalTime>8</TotalTime>
  <ScaleCrop>false</ScaleCrop>
  <LinksUpToDate>false</LinksUpToDate>
  <CharactersWithSpaces>14423</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2026-07-14T10:38:00Z</dcterms:created>
  <dc:creator>_皮卡没有丘</dc:creator>
  <cp:lastModifiedBy>林方鸿</cp:lastModifiedBy>
  <cp:lastPrinted>2026-07-24T05:21:00Z</cp:lastPrinted>
  <dcterms:modified xsi:type="dcterms:W3CDTF">2026-08-04T00:49:17Z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7A2B3A70FAC144158E77AC8BBC1E8644_13</vt:lpwstr>
  </property>
  <property fmtid="{D5CDD505-2E9C-101B-9397-08002B2CF9AE}" pid="4" name="KSOTemplateDocerSaveRecord">
    <vt:lpwstr>eyJoZGlkIjoiNjI5NDRmNTJlMDBmNWEwMzEwYTg2OGE0YzgwM2FmMzciLCJ1c2VySWQiOiI1MTYzNjI5MjgifQ==</vt:lpwstr>
  </property>
</Properties>
</file>