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pPr>
      <w:r>
        <w:rPr>
          <w:rFonts w:hint="eastAsia"/>
        </w:rPr>
        <w:t>卓越新城（南区）城市更新项目</w:t>
      </w:r>
    </w:p>
    <w:p>
      <w:pPr>
        <w:pStyle w:val="39"/>
        <w:rPr>
          <w:rFonts w:hint="eastAsia" w:eastAsia="方正小标宋简体"/>
          <w:lang w:eastAsia="zh-CN"/>
        </w:rPr>
      </w:pPr>
      <w:r>
        <w:rPr>
          <w:rFonts w:hint="eastAsia"/>
        </w:rPr>
        <w:t>房屋征收补偿安置方案</w:t>
      </w:r>
      <w:r>
        <w:rPr>
          <w:rFonts w:hint="eastAsia"/>
          <w:lang w:eastAsia="zh-CN"/>
        </w:rPr>
        <w:t>（征求意见稿</w:t>
      </w:r>
      <w:bookmarkStart w:id="0" w:name="_GoBack"/>
      <w:bookmarkEnd w:id="0"/>
      <w:r>
        <w:rPr>
          <w:rFonts w:hint="eastAsia"/>
          <w:lang w:eastAsia="zh-CN"/>
        </w:rPr>
        <w:t>）</w:t>
      </w:r>
    </w:p>
    <w:p>
      <w:pPr>
        <w:ind w:firstLine="640"/>
      </w:pPr>
    </w:p>
    <w:p>
      <w:pPr>
        <w:spacing w:line="348" w:lineRule="auto"/>
        <w:ind w:firstLine="640"/>
      </w:pPr>
      <w:r>
        <w:rPr>
          <w:rFonts w:hint="eastAsia"/>
        </w:rPr>
        <w:t>根据党的二十届四中全会及“十五五”规划中对实施城市更新行动的要求，为完善城市功能结构，转变城市开发建设方式，加快推进海南自由贸易港发展，按照《中华人民共和国民法典》《中华人民共和国土地管理法》《中华人民共和国城乡规划法》《国有土地上房屋征收与补偿条例》《国有土地上房屋征收评估办法》、《三亚市国有土地上房屋征收补偿安置办法》</w:t>
      </w:r>
      <w:r>
        <w:t>等法律法规以及参照三亚市人民政府其他有关规定，结合三亚市天涯区卓越新城</w:t>
      </w:r>
      <w:r>
        <w:rPr>
          <w:rFonts w:hint="eastAsia"/>
        </w:rPr>
        <w:t>（</w:t>
      </w:r>
      <w:r>
        <w:t>南区</w:t>
      </w:r>
      <w:r>
        <w:rPr>
          <w:rFonts w:hint="eastAsia"/>
        </w:rPr>
        <w:t>）城市更新</w:t>
      </w:r>
      <w:r>
        <w:t>项目范围内的实际情</w:t>
      </w:r>
      <w:r>
        <w:rPr>
          <w:rFonts w:hint="eastAsia"/>
        </w:rPr>
        <w:t>况，制定本方案。</w:t>
      </w:r>
    </w:p>
    <w:p>
      <w:pPr>
        <w:pStyle w:val="42"/>
        <w:numPr>
          <w:ilvl w:val="0"/>
          <w:numId w:val="3"/>
        </w:numPr>
        <w:spacing w:line="348" w:lineRule="auto"/>
        <w:ind w:firstLine="640"/>
      </w:pPr>
      <w:r>
        <w:rPr>
          <w:rFonts w:hint="eastAsia"/>
        </w:rPr>
        <w:t>征收范围及基本情况</w:t>
      </w:r>
    </w:p>
    <w:p>
      <w:pPr>
        <w:spacing w:line="348" w:lineRule="auto"/>
        <w:ind w:firstLine="640"/>
      </w:pPr>
      <w:r>
        <w:rPr>
          <w:rFonts w:hint="eastAsia"/>
        </w:rPr>
        <w:t>四至范围：东至胜利路，南至友谊路，西至南部战区海军第二医院，北至海岸名都小区。用地面积约</w:t>
      </w:r>
      <w:r>
        <w:t>25792.55</w:t>
      </w:r>
      <w:r>
        <w:rPr>
          <w:rFonts w:hint="eastAsia" w:ascii="Segoe UI Symbol" w:hAnsi="Segoe UI Symbol" w:eastAsia="Segoe UI Symbol" w:cs="Segoe UI Symbol"/>
        </w:rPr>
        <w:t>㎡</w:t>
      </w:r>
      <w:r>
        <w:rPr>
          <w:rFonts w:hint="eastAsia" w:hAnsi="仿宋_GB2312" w:cs="仿宋_GB2312"/>
        </w:rPr>
        <w:t>（</w:t>
      </w:r>
      <w:r>
        <w:rPr>
          <w:rFonts w:hAnsi="仿宋_GB2312" w:cs="仿宋_GB2312"/>
        </w:rPr>
        <w:t>38.69</w:t>
      </w:r>
      <w:r>
        <w:rPr>
          <w:rFonts w:hint="eastAsia" w:hAnsi="仿宋_GB2312" w:cs="仿宋_GB2312"/>
        </w:rPr>
        <w:t>亩，不含已收储、未确权土地</w:t>
      </w:r>
      <w:r>
        <w:t>），均为国有土地</w:t>
      </w:r>
      <w:r>
        <w:rPr>
          <w:rFonts w:hint="eastAsia"/>
        </w:rPr>
        <w:t>，主要为三亚粮储公司的</w:t>
      </w:r>
      <w:r>
        <w:t>3处划拨仓储用地。</w:t>
      </w:r>
    </w:p>
    <w:p>
      <w:pPr>
        <w:spacing w:line="348" w:lineRule="auto"/>
        <w:ind w:firstLine="640"/>
      </w:pPr>
      <w:r>
        <w:rPr>
          <w:rFonts w:hint="eastAsia"/>
        </w:rPr>
        <w:t>需拆除房屋建筑面积约</w:t>
      </w:r>
      <w:r>
        <w:t>20694.25</w:t>
      </w:r>
      <w:r>
        <w:rPr>
          <w:rFonts w:hint="eastAsia" w:ascii="Segoe UI Symbol" w:hAnsi="Segoe UI Symbol" w:eastAsia="Segoe UI Symbol" w:cs="Segoe UI Symbol"/>
        </w:rPr>
        <w:t>㎡</w:t>
      </w:r>
      <w:r>
        <w:t>，</w:t>
      </w:r>
      <w:r>
        <w:rPr>
          <w:rFonts w:hint="eastAsia"/>
        </w:rPr>
        <w:t>包括粮储公司</w:t>
      </w:r>
      <w:r>
        <w:t>宿舍楼</w:t>
      </w:r>
      <w:r>
        <w:rPr>
          <w:rFonts w:hint="eastAsia"/>
        </w:rPr>
        <w:t>、</w:t>
      </w:r>
      <w:r>
        <w:t>仓库</w:t>
      </w:r>
      <w:r>
        <w:rPr>
          <w:rFonts w:hint="eastAsia"/>
        </w:rPr>
        <w:t>、</w:t>
      </w:r>
      <w:r>
        <w:t>加工厂</w:t>
      </w:r>
      <w:r>
        <w:rPr>
          <w:rFonts w:hint="eastAsia"/>
        </w:rPr>
        <w:t>、</w:t>
      </w:r>
      <w:r>
        <w:t>自建房</w:t>
      </w:r>
      <w:r>
        <w:rPr>
          <w:rFonts w:hint="eastAsia"/>
        </w:rPr>
        <w:t>及</w:t>
      </w:r>
      <w:r>
        <w:t>附属建筑，实际面积以测量为准。</w:t>
      </w:r>
      <w:r>
        <w:rPr>
          <w:rFonts w:hint="eastAsia"/>
        </w:rPr>
        <w:t>具体为上述征收范围内国有土地上有土地使用权证、房屋所有权证的房屋所有权人。</w:t>
      </w:r>
    </w:p>
    <w:p>
      <w:pPr>
        <w:pStyle w:val="42"/>
        <w:spacing w:line="348" w:lineRule="auto"/>
        <w:ind w:firstLine="640"/>
      </w:pPr>
      <w:r>
        <w:rPr>
          <w:rFonts w:hint="eastAsia"/>
        </w:rPr>
        <w:t>指导思想</w:t>
      </w:r>
    </w:p>
    <w:p>
      <w:pPr>
        <w:spacing w:line="348" w:lineRule="auto"/>
        <w:ind w:firstLine="640"/>
      </w:pPr>
      <w:r>
        <w:rPr>
          <w:rFonts w:hint="eastAsia"/>
        </w:rPr>
        <w:t>坚持以习近平新时代中国特色社会主义思想为指导，围绕海南自由贸易港建设总体方案，加快推进城市国际化进程，完善城市基础设施，改善城市面貌和居民居住条件及生活环境，提升城市品位、价值和形象，维护被征收人合法权益，在依法征收的基础上，做到和谐拆迁。</w:t>
      </w:r>
    </w:p>
    <w:p>
      <w:pPr>
        <w:pStyle w:val="42"/>
        <w:spacing w:line="348" w:lineRule="auto"/>
        <w:ind w:firstLine="640"/>
      </w:pPr>
      <w:r>
        <w:rPr>
          <w:rFonts w:hint="eastAsia"/>
        </w:rPr>
        <w:t>征收主体和法律依据</w:t>
      </w:r>
    </w:p>
    <w:p>
      <w:pPr>
        <w:pStyle w:val="43"/>
        <w:spacing w:line="348" w:lineRule="auto"/>
        <w:ind w:firstLine="640"/>
      </w:pPr>
      <w:r>
        <w:rPr>
          <w:rFonts w:hint="eastAsia"/>
        </w:rPr>
        <w:t>征收主体</w:t>
      </w:r>
    </w:p>
    <w:p>
      <w:pPr>
        <w:pStyle w:val="46"/>
        <w:spacing w:line="348" w:lineRule="auto"/>
        <w:ind w:firstLine="800"/>
      </w:pPr>
      <w:r>
        <w:t>征 收 人：三亚市天涯区人民政府。</w:t>
      </w:r>
    </w:p>
    <w:p>
      <w:pPr>
        <w:pStyle w:val="46"/>
        <w:spacing w:line="348" w:lineRule="auto"/>
        <w:ind w:firstLine="800"/>
      </w:pPr>
      <w:r>
        <w:t>实施单位：三亚市天涯区住房和城乡建设局。</w:t>
      </w:r>
    </w:p>
    <w:p>
      <w:pPr>
        <w:pStyle w:val="46"/>
        <w:spacing w:line="348" w:lineRule="auto"/>
        <w:ind w:firstLine="800"/>
      </w:pPr>
      <w:r>
        <w:t>被征收人：</w:t>
      </w:r>
      <w:r>
        <w:rPr>
          <w:rFonts w:hint="eastAsia"/>
        </w:rPr>
        <w:t>项目范围内国有土地为</w:t>
      </w:r>
      <w:r>
        <w:t>仓储用地</w:t>
      </w:r>
      <w:r>
        <w:rPr>
          <w:rFonts w:hint="eastAsia"/>
        </w:rPr>
        <w:t>、无土地使用权证和房屋所有权证及虽有土地使用权证和房屋所有权证但未签订产权归集协议的合法产权人</w:t>
      </w:r>
      <w:r>
        <w:t>。</w:t>
      </w:r>
    </w:p>
    <w:p>
      <w:pPr>
        <w:pStyle w:val="43"/>
        <w:spacing w:line="348" w:lineRule="auto"/>
        <w:ind w:firstLine="640"/>
      </w:pPr>
      <w:r>
        <w:t>法律依据</w:t>
      </w:r>
    </w:p>
    <w:p>
      <w:pPr>
        <w:pStyle w:val="46"/>
        <w:spacing w:line="348" w:lineRule="auto"/>
        <w:ind w:firstLine="800"/>
      </w:pPr>
      <w:r>
        <w:t>《中华人民共和国民法典》(2021年1月1日起实施)；</w:t>
      </w:r>
    </w:p>
    <w:p>
      <w:pPr>
        <w:pStyle w:val="46"/>
        <w:spacing w:line="348" w:lineRule="auto"/>
        <w:ind w:firstLine="800"/>
      </w:pPr>
      <w:r>
        <w:t>《中华人民共和国土地管理法》(2019年修订)；</w:t>
      </w:r>
    </w:p>
    <w:p>
      <w:pPr>
        <w:pStyle w:val="46"/>
        <w:spacing w:line="348" w:lineRule="auto"/>
        <w:ind w:firstLine="800"/>
      </w:pPr>
      <w:r>
        <w:t>《中华人民共和国城乡规划法》(2019年修订)；</w:t>
      </w:r>
    </w:p>
    <w:p>
      <w:pPr>
        <w:pStyle w:val="46"/>
        <w:spacing w:line="348" w:lineRule="auto"/>
        <w:ind w:firstLine="800"/>
      </w:pPr>
      <w:r>
        <w:t>《国有土地上房屋征收与补偿条例》(国务院令第590号)；</w:t>
      </w:r>
    </w:p>
    <w:p>
      <w:pPr>
        <w:pStyle w:val="46"/>
        <w:spacing w:line="348" w:lineRule="auto"/>
        <w:ind w:firstLine="800"/>
      </w:pPr>
      <w:r>
        <w:t>《国有土地上房屋征收评估办法》(建房〔2011〕77号)；</w:t>
      </w:r>
    </w:p>
    <w:p>
      <w:pPr>
        <w:pStyle w:val="46"/>
        <w:spacing w:line="348" w:lineRule="auto"/>
        <w:ind w:firstLine="800"/>
      </w:pPr>
      <w:r>
        <w:t>《海南自由贸易港征收征用条例》</w:t>
      </w:r>
      <w:r>
        <w:rPr>
          <w:rFonts w:hint="eastAsia"/>
        </w:rPr>
        <w:t>；</w:t>
      </w:r>
    </w:p>
    <w:p>
      <w:pPr>
        <w:pStyle w:val="46"/>
        <w:spacing w:line="348" w:lineRule="auto"/>
        <w:ind w:firstLine="800"/>
      </w:pPr>
      <w:r>
        <w:rPr>
          <w:rFonts w:hint="eastAsia"/>
        </w:rPr>
        <w:t>《三亚市国有土地上房屋征收补偿安置办法》（三府规〔2026〕1号）</w:t>
      </w:r>
      <w:r>
        <w:t>；</w:t>
      </w:r>
    </w:p>
    <w:p>
      <w:pPr>
        <w:pStyle w:val="46"/>
        <w:spacing w:line="348" w:lineRule="auto"/>
        <w:ind w:firstLine="800"/>
      </w:pPr>
      <w:r>
        <w:rPr>
          <w:rFonts w:hint="eastAsia"/>
        </w:rPr>
        <w:t>《三亚市人民政府关于印发三亚市城市更新实施指导意见（试行）的通知》（三府〔</w:t>
      </w:r>
      <w:r>
        <w:t>2022〕264号）</w:t>
      </w:r>
      <w:r>
        <w:rPr>
          <w:rFonts w:hint="eastAsia"/>
        </w:rPr>
        <w:t>。</w:t>
      </w:r>
    </w:p>
    <w:p>
      <w:pPr>
        <w:pStyle w:val="42"/>
        <w:spacing w:line="348" w:lineRule="auto"/>
        <w:ind w:firstLine="640"/>
      </w:pPr>
      <w:r>
        <w:rPr>
          <w:rFonts w:hint="eastAsia"/>
        </w:rPr>
        <w:t>征收补偿安置原则</w:t>
      </w:r>
    </w:p>
    <w:p>
      <w:pPr>
        <w:pStyle w:val="43"/>
        <w:spacing w:line="348" w:lineRule="auto"/>
        <w:ind w:firstLine="640"/>
      </w:pPr>
      <w:r>
        <w:t>坚持“公开、公平、公正”依法和谐</w:t>
      </w:r>
      <w:r>
        <w:rPr>
          <w:rFonts w:hint="eastAsia"/>
        </w:rPr>
        <w:t>征收</w:t>
      </w:r>
      <w:r>
        <w:t>原则；</w:t>
      </w:r>
    </w:p>
    <w:p>
      <w:pPr>
        <w:pStyle w:val="43"/>
        <w:spacing w:line="348" w:lineRule="auto"/>
        <w:ind w:firstLine="640"/>
      </w:pPr>
      <w:r>
        <w:t>坚持“先补偿后搬迁”原则；</w:t>
      </w:r>
    </w:p>
    <w:p>
      <w:pPr>
        <w:pStyle w:val="43"/>
        <w:spacing w:line="348" w:lineRule="auto"/>
        <w:ind w:firstLine="640"/>
      </w:pPr>
      <w:r>
        <w:t>坚持“先签约先选安置房”原则；</w:t>
      </w:r>
    </w:p>
    <w:p>
      <w:pPr>
        <w:pStyle w:val="43"/>
        <w:spacing w:line="348" w:lineRule="auto"/>
        <w:ind w:firstLine="640"/>
      </w:pPr>
      <w:r>
        <w:t>坚持“以人为本、让利于民”原则</w:t>
      </w:r>
      <w:r>
        <w:rPr>
          <w:rFonts w:hint="eastAsia"/>
        </w:rPr>
        <w:t>；</w:t>
      </w:r>
    </w:p>
    <w:p>
      <w:pPr>
        <w:pStyle w:val="43"/>
        <w:spacing w:line="348" w:lineRule="auto"/>
        <w:ind w:firstLine="640"/>
      </w:pPr>
      <w:r>
        <w:rPr>
          <w:rFonts w:hint="eastAsia"/>
        </w:rPr>
        <w:t>坚持依法征收和坚持打击违法、违章建筑相结合原则。</w:t>
      </w:r>
    </w:p>
    <w:p>
      <w:pPr>
        <w:pStyle w:val="42"/>
        <w:spacing w:line="348" w:lineRule="auto"/>
        <w:ind w:firstLine="640"/>
      </w:pPr>
      <w:r>
        <w:rPr>
          <w:rFonts w:hint="eastAsia"/>
        </w:rPr>
        <w:t>被征收房屋的认定</w:t>
      </w:r>
    </w:p>
    <w:p>
      <w:pPr>
        <w:pStyle w:val="43"/>
        <w:spacing w:line="348" w:lineRule="auto"/>
        <w:ind w:firstLine="640"/>
      </w:pPr>
      <w:r>
        <w:t>房屋</w:t>
      </w:r>
      <w:r>
        <w:rPr>
          <w:rFonts w:hint="eastAsia"/>
        </w:rPr>
        <w:t>征收</w:t>
      </w:r>
      <w:r>
        <w:t>范围内住宅房屋、非住宅房屋的认定，按照房屋所有权证记载的用途确定。房屋所有权证没有记载用途的，按照规划部门批准的用途确定。</w:t>
      </w:r>
    </w:p>
    <w:p>
      <w:pPr>
        <w:pStyle w:val="43"/>
        <w:spacing w:line="348" w:lineRule="auto"/>
        <w:ind w:firstLine="640"/>
      </w:pPr>
      <w:r>
        <w:t>被</w:t>
      </w:r>
      <w:r>
        <w:rPr>
          <w:rFonts w:hint="eastAsia"/>
        </w:rPr>
        <w:t>征收</w:t>
      </w:r>
      <w:r>
        <w:t>房屋建筑面积的认定，按照房屋所有权证记载的建筑面积确定。房屋</w:t>
      </w:r>
      <w:r>
        <w:rPr>
          <w:rFonts w:hint="eastAsia"/>
        </w:rPr>
        <w:t>征收</w:t>
      </w:r>
      <w:r>
        <w:t>范围内已按照房改政策出售的房改房、公房以及经济适用房、单位集资房等福利住房，且尚未取得房屋所有权证的和其他不能确定房屋建筑面积的，建筑面积按照有资质测绘机构的测绘结果确定。</w:t>
      </w:r>
    </w:p>
    <w:p>
      <w:pPr>
        <w:pStyle w:val="43"/>
        <w:spacing w:line="348" w:lineRule="auto"/>
        <w:ind w:firstLine="640"/>
      </w:pPr>
      <w:r>
        <w:t>被</w:t>
      </w:r>
      <w:r>
        <w:rPr>
          <w:rFonts w:hint="eastAsia"/>
        </w:rPr>
        <w:t>征收</w:t>
      </w:r>
      <w:r>
        <w:t>人有土地房屋所有权证书的，但登记的房屋面积发生拆改变动的，被</w:t>
      </w:r>
      <w:r>
        <w:rPr>
          <w:rFonts w:hint="eastAsia"/>
        </w:rPr>
        <w:t>征收</w:t>
      </w:r>
      <w:r>
        <w:t>房屋建筑面积的认定，作如下处理：</w:t>
      </w:r>
    </w:p>
    <w:p>
      <w:pPr>
        <w:pStyle w:val="46"/>
        <w:spacing w:line="348" w:lineRule="auto"/>
        <w:ind w:firstLine="800"/>
      </w:pPr>
      <w:r>
        <w:t>拆改变动不超过原土地使用权及房屋建筑登记面积的，按照拆改变动后房屋实际面积确定。</w:t>
      </w:r>
    </w:p>
    <w:p>
      <w:pPr>
        <w:pStyle w:val="46"/>
        <w:spacing w:line="348" w:lineRule="auto"/>
        <w:ind w:firstLine="800"/>
      </w:pPr>
      <w:r>
        <w:t>拆改变动超出原房屋建筑登记面积，但没有超过土地使用权登记面积的，按以下情况分别处理：</w:t>
      </w:r>
    </w:p>
    <w:p>
      <w:pPr>
        <w:pStyle w:val="48"/>
        <w:spacing w:line="348" w:lineRule="auto"/>
        <w:ind w:firstLine="800"/>
      </w:pPr>
      <w:r>
        <w:t>原房屋登记超过四层半(含四层半)的，在原房屋基础上进行拆改变动后，按原房屋所有权证记载的建筑面积予以确定并进行补偿；如拆改变动后的建筑物楼层超出原建筑物楼层的，增加房屋建筑面积在500 m²以内(含500m²)的，按照800元/m²予以补偿；超出500 m²以上部分，不予补偿。</w:t>
      </w:r>
    </w:p>
    <w:p>
      <w:pPr>
        <w:pStyle w:val="48"/>
        <w:spacing w:line="348" w:lineRule="auto"/>
        <w:ind w:firstLine="800"/>
      </w:pPr>
      <w:r>
        <w:t>原房屋登记面积没有超过四层半(含四层半)的，在原房屋基础上进行拆改，拆改后被</w:t>
      </w:r>
      <w:r>
        <w:rPr>
          <w:rFonts w:hint="eastAsia"/>
        </w:rPr>
        <w:t>征收</w:t>
      </w:r>
      <w:r>
        <w:t>房屋四层半(含四层半)以下部分，可予认定并进行补偿；超出四层半500 m²以内( 含500m²)部分，按照800元/m²予以补偿；超出四层半500m²以上部分，不予补偿。</w:t>
      </w:r>
    </w:p>
    <w:p>
      <w:pPr>
        <w:pStyle w:val="48"/>
        <w:spacing w:line="348" w:lineRule="auto"/>
        <w:ind w:firstLine="800"/>
      </w:pPr>
      <w:r>
        <w:t>没有拆改原房屋，但在登记的土地使用权范围内另行建造房屋的，或在原房屋基础上加宽面积的，按照本方案第五条第四款的规定执行。</w:t>
      </w:r>
    </w:p>
    <w:p>
      <w:pPr>
        <w:pStyle w:val="48"/>
        <w:spacing w:line="348" w:lineRule="auto"/>
        <w:ind w:firstLine="800"/>
      </w:pPr>
      <w:r>
        <w:t>将原房屋全部或部分拆除后，在原有土地上建造一栋及以上栋数房屋的，按照本方案第五条第四款的规定执行。</w:t>
      </w:r>
    </w:p>
    <w:p>
      <w:pPr>
        <w:pStyle w:val="43"/>
        <w:spacing w:line="348" w:lineRule="auto"/>
        <w:ind w:firstLine="640"/>
      </w:pPr>
      <w:r>
        <w:t>被</w:t>
      </w:r>
      <w:r>
        <w:rPr>
          <w:rFonts w:hint="eastAsia"/>
        </w:rPr>
        <w:t>征收</w:t>
      </w:r>
      <w:r>
        <w:t>人没有土地房屋所有权证书，但持有土地证、合法土地来源证明或社区居委会出具的土地历史来源取得证明的被征收人的房屋四层半(含四层半)以下部分，可予认定并进行补偿；超出四层半500m²(含500 m²)以内部分，可按800元/m²予</w:t>
      </w:r>
      <w:r>
        <w:rPr>
          <w:rFonts w:hint="eastAsia"/>
        </w:rPr>
        <w:t>以</w:t>
      </w:r>
      <w:r>
        <w:t>补偿；超出四层半500 m²以上部分，不予补偿。</w:t>
      </w:r>
    </w:p>
    <w:p>
      <w:pPr>
        <w:pStyle w:val="43"/>
        <w:spacing w:line="348" w:lineRule="auto"/>
        <w:ind w:firstLine="640"/>
      </w:pPr>
      <w:r>
        <w:t>被</w:t>
      </w:r>
      <w:r>
        <w:rPr>
          <w:rFonts w:hint="eastAsia"/>
        </w:rPr>
        <w:t>征收</w:t>
      </w:r>
      <w:r>
        <w:t>人没有房屋所有权证书，也没有土地证、没有合法土地来源证明或社区居委会出具的土地历史来源取得证明的被征收人的房屋，可按建筑物建成时间作如下处理：</w:t>
      </w:r>
    </w:p>
    <w:p>
      <w:pPr>
        <w:pStyle w:val="46"/>
        <w:spacing w:line="348" w:lineRule="auto"/>
        <w:ind w:firstLine="800"/>
      </w:pPr>
      <w:r>
        <w:t>建成时间在1990年4月1日《中华人民共和国城市规划法》施行之前的，可予确认并按本方案第六条标准给予补偿；</w:t>
      </w:r>
    </w:p>
    <w:p>
      <w:pPr>
        <w:pStyle w:val="46"/>
        <w:spacing w:line="348" w:lineRule="auto"/>
        <w:ind w:firstLine="800"/>
      </w:pPr>
      <w:r>
        <w:t>建成时间在1990年4月1日《中华人民共和国城市规划法》施行之后，2008年6月12日《中共三亚市委三亚市人民政府关于坚决打击违法建设行为的决定》(三发〔2008〕3号) 施行之前的被征收人的房屋四层半(含四层半)以下部分，可予以认定，可按政府房屋征收公告发布之日的建安成本价给予补偿；超出四层半500 m²( 含500m²)以内部分，可按800元/m² 予</w:t>
      </w:r>
      <w:r>
        <w:rPr>
          <w:rFonts w:hint="eastAsia"/>
        </w:rPr>
        <w:t>以</w:t>
      </w:r>
      <w:r>
        <w:t>补偿；超出四层半500m²以上部分，不予补偿。</w:t>
      </w:r>
    </w:p>
    <w:p>
      <w:pPr>
        <w:pStyle w:val="46"/>
        <w:spacing w:line="348" w:lineRule="auto"/>
        <w:ind w:firstLine="800"/>
      </w:pPr>
      <w:r>
        <w:t>建成时间在2008年6月12日《中共三亚市委三亚市人民政府关于坚决打击违法建设行为的决定》(三发〔2008〕3号)施行之后的，不予补偿。</w:t>
      </w:r>
    </w:p>
    <w:p>
      <w:pPr>
        <w:spacing w:line="348" w:lineRule="auto"/>
        <w:ind w:firstLine="640"/>
      </w:pPr>
      <w:r>
        <w:rPr>
          <w:rFonts w:hint="eastAsia"/>
        </w:rPr>
        <w:t>被征收人房屋建成时间原则上按照以下程序认定：社区居委会对本社区房屋建成时间进行调查和登记，经社区居民代表</w:t>
      </w:r>
      <w:r>
        <w:t>会议讨论通过后公示7日，在公示期内无异议的，由社区居委会提供相关材料交由</w:t>
      </w:r>
      <w:r>
        <w:rPr>
          <w:rFonts w:hint="eastAsia"/>
        </w:rPr>
        <w:t>天涯</w:t>
      </w:r>
      <w:r>
        <w:t>区人民政府核准。对于老社员建房时间，由社区居委会提供相关原居民材料予</w:t>
      </w:r>
      <w:r>
        <w:rPr>
          <w:rFonts w:hint="eastAsia"/>
        </w:rPr>
        <w:t>以</w:t>
      </w:r>
      <w:r>
        <w:t>认定，如没有原居民材料的，经社区居民代表会议2/3以上居民代表人数讨论表决通过后公示7日，在公示期内无异议的，由社区居委会提供相关材料交由</w:t>
      </w:r>
      <w:r>
        <w:rPr>
          <w:rFonts w:hint="eastAsia"/>
        </w:rPr>
        <w:t>天涯</w:t>
      </w:r>
      <w:r>
        <w:t>区人民政府核准。</w:t>
      </w:r>
    </w:p>
    <w:p>
      <w:pPr>
        <w:pStyle w:val="43"/>
        <w:spacing w:line="348" w:lineRule="auto"/>
        <w:ind w:firstLine="640"/>
      </w:pPr>
      <w:r>
        <w:t>被</w:t>
      </w:r>
      <w:r>
        <w:rPr>
          <w:rFonts w:hint="eastAsia"/>
        </w:rPr>
        <w:t>征收</w:t>
      </w:r>
      <w:r>
        <w:t>人持有合法用地手续，但地上没有或者只有少量房屋及其他附着物的</w:t>
      </w:r>
      <w:r>
        <w:rPr>
          <w:rFonts w:hint="eastAsia"/>
        </w:rPr>
        <w:t>征收</w:t>
      </w:r>
      <w:r>
        <w:t>补偿办法，补偿办法如下：</w:t>
      </w:r>
    </w:p>
    <w:p>
      <w:pPr>
        <w:spacing w:line="348" w:lineRule="auto"/>
        <w:ind w:firstLine="640"/>
      </w:pPr>
      <w:r>
        <w:rPr>
          <w:rFonts w:hint="eastAsia"/>
        </w:rPr>
        <w:t>房屋部分按照安置房市场价格补偿，土地部分扣除房屋分摊面积后按市场评估价格补偿。或土地和房屋分开评估分开补偿。</w:t>
      </w:r>
    </w:p>
    <w:p>
      <w:pPr>
        <w:pStyle w:val="43"/>
        <w:spacing w:line="348" w:lineRule="auto"/>
        <w:ind w:firstLine="640"/>
      </w:pPr>
      <w:r>
        <w:t>未超过批准期限的临时建筑，可按批准使用的剩余期限予以适当的货币补偿；已超过批准期限的临时建筑不予补偿，应自行拆除。</w:t>
      </w:r>
    </w:p>
    <w:p>
      <w:pPr>
        <w:pStyle w:val="42"/>
        <w:spacing w:line="348" w:lineRule="auto"/>
        <w:ind w:firstLine="640"/>
      </w:pPr>
      <w:r>
        <w:rPr>
          <w:rFonts w:hint="eastAsia"/>
        </w:rPr>
        <w:t>征收补偿安置</w:t>
      </w:r>
    </w:p>
    <w:p>
      <w:pPr>
        <w:spacing w:line="348" w:lineRule="auto"/>
        <w:ind w:firstLine="640"/>
      </w:pPr>
      <w:r>
        <w:rPr>
          <w:rFonts w:hint="eastAsia"/>
        </w:rPr>
        <w:t>房屋、建筑附属物和树木、青苗等征收补偿标准，原则上执行《国有土地上房屋征收与补偿条例》（国务院令第</w:t>
      </w:r>
      <w:r>
        <w:t>590号）和参照三亚市人民政府其他有关规定，具体如下：</w:t>
      </w:r>
    </w:p>
    <w:p>
      <w:pPr>
        <w:pStyle w:val="43"/>
        <w:spacing w:line="348" w:lineRule="auto"/>
        <w:ind w:firstLine="640"/>
      </w:pPr>
      <w:r>
        <w:rPr>
          <w:rFonts w:hint="eastAsia"/>
        </w:rPr>
        <w:t>住宅房屋补偿</w:t>
      </w:r>
    </w:p>
    <w:p>
      <w:pPr>
        <w:spacing w:line="348" w:lineRule="auto"/>
        <w:ind w:firstLine="640"/>
      </w:pPr>
      <w:r>
        <w:rPr>
          <w:rFonts w:hint="eastAsia"/>
        </w:rPr>
        <w:t>补偿安置方式分为货币补偿、产权调换或货币补偿和产权调换相结合，除本方案另有规定外，补偿安置方式由被征收人自行选定。</w:t>
      </w:r>
    </w:p>
    <w:p>
      <w:pPr>
        <w:pStyle w:val="46"/>
        <w:spacing w:line="348" w:lineRule="auto"/>
        <w:ind w:firstLine="800"/>
      </w:pPr>
      <w:r>
        <w:t>货币补偿</w:t>
      </w:r>
    </w:p>
    <w:p>
      <w:pPr>
        <w:spacing w:line="348" w:lineRule="auto"/>
        <w:ind w:firstLine="640"/>
      </w:pPr>
      <w:r>
        <w:rPr>
          <w:rFonts w:hint="eastAsia"/>
        </w:rPr>
        <w:t>被征收人选择货币补偿的，按被征收房屋的市场评估价值补偿。市场评估价格由具有相应资质的房地产价格评估机构依法评估确定，房屋的价值评估时间节点为房屋征收决定公告之日。</w:t>
      </w:r>
    </w:p>
    <w:p>
      <w:pPr>
        <w:pStyle w:val="46"/>
        <w:spacing w:line="348" w:lineRule="auto"/>
        <w:ind w:firstLine="800"/>
      </w:pPr>
      <w:r>
        <w:t>产权</w:t>
      </w:r>
      <w:r>
        <w:rPr>
          <w:rFonts w:hint="eastAsia"/>
        </w:rPr>
        <w:t>调</w:t>
      </w:r>
      <w:r>
        <w:t>换</w:t>
      </w:r>
    </w:p>
    <w:p>
      <w:pPr>
        <w:spacing w:line="348" w:lineRule="auto"/>
        <w:ind w:firstLine="640"/>
      </w:pPr>
      <w:r>
        <w:t xml:space="preserve"> </w:t>
      </w:r>
      <w:r>
        <w:rPr>
          <w:rFonts w:hint="eastAsia"/>
        </w:rPr>
        <w:t xml:space="preserve">被征收人选择产权调换的，在不改变国有土地使用权取得方式的情况下，由被征收人选择按照等值调换的原则，由具有相应资质的房地产价格评估机构依法评估后调换对应面积的住宅房屋，或选择按照被征收房屋套内面积1:1对应调换安置房套内面积。 </w:t>
      </w:r>
    </w:p>
    <w:p>
      <w:pPr>
        <w:spacing w:line="348" w:lineRule="auto"/>
        <w:ind w:firstLine="640"/>
      </w:pPr>
      <w:r>
        <w:rPr>
          <w:rFonts w:hint="eastAsia"/>
        </w:rPr>
        <w:t>被征收房屋结构参照三亚市集体土地征收补偿安置管理的有关规定予以认定，按照被征收人的房屋套内面积调换安置房套内面积并结算，调换比例如下</w:t>
      </w:r>
      <w:r>
        <w:t>：</w:t>
      </w:r>
    </w:p>
    <w:tbl>
      <w:tblPr>
        <w:tblStyle w:val="28"/>
        <w:tblW w:w="8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Merge w:val="restart"/>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被</w:t>
            </w:r>
            <w:r>
              <w:rPr>
                <w:rFonts w:hint="eastAsia" w:cs="Times New Roman"/>
                <w:bCs/>
                <w:kern w:val="0"/>
                <w:sz w:val="28"/>
                <w:szCs w:val="28"/>
              </w:rPr>
              <w:t>征收</w:t>
            </w:r>
            <w:r>
              <w:rPr>
                <w:rFonts w:cs="Times New Roman"/>
                <w:bCs/>
                <w:kern w:val="0"/>
                <w:sz w:val="28"/>
                <w:szCs w:val="28"/>
              </w:rPr>
              <w:t>人的</w:t>
            </w:r>
          </w:p>
          <w:p>
            <w:pPr>
              <w:spacing w:line="348" w:lineRule="auto"/>
              <w:ind w:firstLine="0" w:firstLineChars="0"/>
              <w:jc w:val="center"/>
              <w:rPr>
                <w:rFonts w:cs="Times New Roman"/>
                <w:bCs/>
                <w:kern w:val="0"/>
                <w:sz w:val="28"/>
                <w:szCs w:val="28"/>
              </w:rPr>
            </w:pPr>
            <w:r>
              <w:rPr>
                <w:rFonts w:cs="Times New Roman"/>
                <w:bCs/>
                <w:kern w:val="0"/>
                <w:sz w:val="28"/>
                <w:szCs w:val="28"/>
              </w:rPr>
              <w:t>房屋结构</w:t>
            </w:r>
          </w:p>
        </w:tc>
        <w:tc>
          <w:tcPr>
            <w:tcW w:w="5670" w:type="dxa"/>
            <w:gridSpan w:val="2"/>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产权</w:t>
            </w:r>
            <w:r>
              <w:rPr>
                <w:rFonts w:hint="eastAsia" w:cs="Times New Roman"/>
                <w:bCs/>
                <w:kern w:val="0"/>
                <w:sz w:val="28"/>
                <w:szCs w:val="28"/>
              </w:rPr>
              <w:t>调</w:t>
            </w:r>
            <w:r>
              <w:rPr>
                <w:rFonts w:cs="Times New Roman"/>
                <w:bCs/>
                <w:kern w:val="0"/>
                <w:sz w:val="28"/>
                <w:szCs w:val="28"/>
              </w:rPr>
              <w:t>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Merge w:val="continue"/>
            <w:vAlign w:val="center"/>
          </w:tcPr>
          <w:p>
            <w:pPr>
              <w:spacing w:line="348" w:lineRule="auto"/>
              <w:ind w:firstLine="0" w:firstLineChars="0"/>
              <w:jc w:val="center"/>
              <w:rPr>
                <w:rFonts w:cs="Times New Roman"/>
                <w:bCs/>
                <w:kern w:val="0"/>
                <w:sz w:val="28"/>
                <w:szCs w:val="28"/>
              </w:rPr>
            </w:pP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被</w:t>
            </w:r>
            <w:r>
              <w:rPr>
                <w:rFonts w:hint="eastAsia" w:cs="Times New Roman"/>
                <w:bCs/>
                <w:kern w:val="0"/>
                <w:sz w:val="28"/>
                <w:szCs w:val="28"/>
              </w:rPr>
              <w:t>征收</w:t>
            </w:r>
            <w:r>
              <w:rPr>
                <w:rFonts w:cs="Times New Roman"/>
                <w:bCs/>
                <w:kern w:val="0"/>
                <w:sz w:val="28"/>
                <w:szCs w:val="28"/>
              </w:rPr>
              <w:t>人的房屋</w:t>
            </w:r>
          </w:p>
        </w:tc>
        <w:tc>
          <w:tcPr>
            <w:tcW w:w="2835" w:type="dxa"/>
            <w:vAlign w:val="center"/>
          </w:tcPr>
          <w:p>
            <w:pPr>
              <w:spacing w:line="348" w:lineRule="auto"/>
              <w:ind w:firstLine="0" w:firstLineChars="0"/>
              <w:jc w:val="center"/>
              <w:rPr>
                <w:rFonts w:cs="Times New Roman"/>
                <w:bCs/>
                <w:kern w:val="0"/>
                <w:sz w:val="28"/>
                <w:szCs w:val="28"/>
              </w:rPr>
            </w:pPr>
            <w:r>
              <w:rPr>
                <w:rFonts w:hint="eastAsia" w:cs="Times New Roman"/>
                <w:bCs/>
                <w:kern w:val="0"/>
                <w:sz w:val="28"/>
                <w:szCs w:val="28"/>
              </w:rPr>
              <w:t>调</w:t>
            </w:r>
            <w:r>
              <w:rPr>
                <w:rFonts w:cs="Times New Roman"/>
                <w:bCs/>
                <w:kern w:val="0"/>
                <w:sz w:val="28"/>
                <w:szCs w:val="28"/>
              </w:rPr>
              <w:t>换房屋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框架结构</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混合结构</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砖木结构</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简易结构</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1</w:t>
            </w:r>
          </w:p>
        </w:tc>
        <w:tc>
          <w:tcPr>
            <w:tcW w:w="2835" w:type="dxa"/>
            <w:vAlign w:val="center"/>
          </w:tcPr>
          <w:p>
            <w:pPr>
              <w:spacing w:line="348" w:lineRule="auto"/>
              <w:ind w:firstLine="0" w:firstLineChars="0"/>
              <w:jc w:val="center"/>
              <w:rPr>
                <w:rFonts w:cs="Times New Roman"/>
                <w:bCs/>
                <w:kern w:val="0"/>
                <w:sz w:val="28"/>
                <w:szCs w:val="28"/>
              </w:rPr>
            </w:pPr>
            <w:r>
              <w:rPr>
                <w:rFonts w:cs="Times New Roman"/>
                <w:bCs/>
                <w:kern w:val="0"/>
                <w:sz w:val="28"/>
                <w:szCs w:val="28"/>
              </w:rPr>
              <w:t>0.75</w:t>
            </w:r>
          </w:p>
        </w:tc>
      </w:tr>
    </w:tbl>
    <w:p>
      <w:pPr>
        <w:pStyle w:val="46"/>
        <w:spacing w:line="348" w:lineRule="auto"/>
        <w:ind w:firstLine="800"/>
      </w:pPr>
      <w:r>
        <w:t>货币补偿</w:t>
      </w:r>
      <w:r>
        <w:rPr>
          <w:rFonts w:hint="eastAsia"/>
        </w:rPr>
        <w:t>与</w:t>
      </w:r>
      <w:r>
        <w:t>产权</w:t>
      </w:r>
      <w:r>
        <w:rPr>
          <w:rFonts w:hint="eastAsia"/>
        </w:rPr>
        <w:t>调</w:t>
      </w:r>
      <w:r>
        <w:t>换相结合</w:t>
      </w:r>
    </w:p>
    <w:p>
      <w:pPr>
        <w:spacing w:line="348" w:lineRule="auto"/>
        <w:ind w:firstLine="640"/>
      </w:pPr>
      <w:r>
        <w:rPr>
          <w:rFonts w:hint="eastAsia"/>
        </w:rPr>
        <w:t>被征收人选择货币补偿与产权调换相结合的，货币补偿部分按本款第</w:t>
      </w:r>
      <w:r>
        <w:t>1</w:t>
      </w:r>
      <w:r>
        <w:rPr>
          <w:rFonts w:hint="eastAsia"/>
        </w:rPr>
        <w:t>项货币补偿规定执行，产权调换部分按本款第</w:t>
      </w:r>
      <w:r>
        <w:t>2</w:t>
      </w:r>
      <w:r>
        <w:rPr>
          <w:rFonts w:hint="eastAsia"/>
        </w:rPr>
        <w:t>项产权调换规定执行。</w:t>
      </w:r>
    </w:p>
    <w:p>
      <w:pPr>
        <w:pStyle w:val="43"/>
        <w:spacing w:line="348" w:lineRule="auto"/>
        <w:ind w:firstLine="640"/>
      </w:pPr>
      <w:r>
        <w:rPr>
          <w:rFonts w:hint="eastAsia"/>
        </w:rPr>
        <w:t>非住宅房屋补偿</w:t>
      </w:r>
    </w:p>
    <w:p>
      <w:pPr>
        <w:pStyle w:val="46"/>
        <w:spacing w:line="348" w:lineRule="auto"/>
        <w:ind w:firstLine="800"/>
      </w:pPr>
      <w:r>
        <w:rPr>
          <w:rFonts w:hint="eastAsia"/>
        </w:rPr>
        <w:t>货币补偿</w:t>
      </w:r>
    </w:p>
    <w:p>
      <w:pPr>
        <w:spacing w:line="348" w:lineRule="auto"/>
        <w:ind w:firstLine="640"/>
        <w:rPr>
          <w:rFonts w:cs="Times New Roman"/>
        </w:rPr>
      </w:pPr>
      <w:r>
        <w:rPr>
          <w:rFonts w:hint="eastAsia" w:cs="Times New Roman"/>
        </w:rPr>
        <w:t>被</w:t>
      </w:r>
      <w:r>
        <w:rPr>
          <w:rFonts w:hint="eastAsia"/>
        </w:rPr>
        <w:t>征收</w:t>
      </w:r>
      <w:r>
        <w:rPr>
          <w:rFonts w:hint="eastAsia" w:cs="Times New Roman"/>
        </w:rPr>
        <w:t>人选择货币补偿的，按被</w:t>
      </w:r>
      <w:r>
        <w:rPr>
          <w:rFonts w:hint="eastAsia"/>
        </w:rPr>
        <w:t>征收</w:t>
      </w:r>
      <w:r>
        <w:rPr>
          <w:rFonts w:hint="eastAsia" w:cs="Times New Roman"/>
        </w:rPr>
        <w:t>房屋的市场评估价值补偿。市场评估价格由具有相应资质的房地产价格评估机构依法评估确定。</w:t>
      </w:r>
    </w:p>
    <w:p>
      <w:pPr>
        <w:pStyle w:val="46"/>
        <w:spacing w:line="348" w:lineRule="auto"/>
        <w:ind w:firstLine="800"/>
      </w:pPr>
      <w:r>
        <w:rPr>
          <w:rFonts w:hint="eastAsia"/>
        </w:rPr>
        <w:t>产权调换</w:t>
      </w:r>
    </w:p>
    <w:p>
      <w:pPr>
        <w:spacing w:line="348" w:lineRule="auto"/>
        <w:ind w:firstLine="640"/>
        <w:rPr>
          <w:rFonts w:cs="Times New Roman"/>
        </w:rPr>
      </w:pPr>
      <w:r>
        <w:rPr>
          <w:rFonts w:hint="eastAsia" w:cs="Times New Roman"/>
        </w:rPr>
        <w:t>被</w:t>
      </w:r>
      <w:r>
        <w:rPr>
          <w:rFonts w:hint="eastAsia"/>
        </w:rPr>
        <w:t>征收</w:t>
      </w:r>
      <w:r>
        <w:rPr>
          <w:rFonts w:hint="eastAsia" w:cs="Times New Roman"/>
        </w:rPr>
        <w:t>人选择产权调换的，由被</w:t>
      </w:r>
      <w:r>
        <w:rPr>
          <w:rFonts w:hint="eastAsia"/>
        </w:rPr>
        <w:t>征收</w:t>
      </w:r>
      <w:r>
        <w:rPr>
          <w:rFonts w:hint="eastAsia" w:cs="Times New Roman"/>
        </w:rPr>
        <w:t>人选择按照等值调换的原则，由具有相应资质的房地产价格评估机构依法评估后调换对应面积的房屋，或选择按照被</w:t>
      </w:r>
      <w:r>
        <w:rPr>
          <w:rFonts w:hint="eastAsia"/>
        </w:rPr>
        <w:t>征收</w:t>
      </w:r>
      <w:r>
        <w:rPr>
          <w:rFonts w:hint="eastAsia" w:cs="Times New Roman"/>
        </w:rPr>
        <w:t>房屋建筑面积</w:t>
      </w:r>
      <w:r>
        <w:rPr>
          <w:rFonts w:cs="Times New Roman"/>
        </w:rPr>
        <w:t>1:1</w:t>
      </w:r>
      <w:r>
        <w:rPr>
          <w:rFonts w:hint="eastAsia" w:cs="Times New Roman"/>
        </w:rPr>
        <w:t>对应调换安置房建筑面积。</w:t>
      </w:r>
    </w:p>
    <w:p>
      <w:pPr>
        <w:pStyle w:val="46"/>
        <w:spacing w:line="348" w:lineRule="auto"/>
        <w:ind w:firstLine="800"/>
      </w:pPr>
      <w:r>
        <w:rPr>
          <w:rFonts w:hint="eastAsia"/>
        </w:rPr>
        <w:t>货币补偿与产权调换相结合</w:t>
      </w:r>
    </w:p>
    <w:p>
      <w:pPr>
        <w:spacing w:line="348" w:lineRule="auto"/>
        <w:ind w:firstLine="640"/>
        <w:rPr>
          <w:rFonts w:cs="Times New Roman"/>
        </w:rPr>
      </w:pPr>
      <w:r>
        <w:rPr>
          <w:rFonts w:hint="eastAsia" w:cs="Times New Roman"/>
        </w:rPr>
        <w:t>被</w:t>
      </w:r>
      <w:r>
        <w:rPr>
          <w:rFonts w:hint="eastAsia"/>
        </w:rPr>
        <w:t>征收</w:t>
      </w:r>
      <w:r>
        <w:rPr>
          <w:rFonts w:hint="eastAsia" w:cs="Times New Roman"/>
        </w:rPr>
        <w:t>人选择货币补偿与产权调换相结合的，货币补偿部分按本款第</w:t>
      </w:r>
      <w:r>
        <w:rPr>
          <w:rFonts w:cs="Times New Roman"/>
        </w:rPr>
        <w:t>1</w:t>
      </w:r>
      <w:r>
        <w:rPr>
          <w:rFonts w:hint="eastAsia" w:cs="Times New Roman"/>
        </w:rPr>
        <w:t>项货币补偿规定执行，产权调换部分按本款第</w:t>
      </w:r>
      <w:r>
        <w:rPr>
          <w:rFonts w:cs="Times New Roman"/>
        </w:rPr>
        <w:t>2</w:t>
      </w:r>
      <w:r>
        <w:rPr>
          <w:rFonts w:hint="eastAsia" w:cs="Times New Roman"/>
        </w:rPr>
        <w:t>项产权调换规定执行。</w:t>
      </w:r>
    </w:p>
    <w:p>
      <w:pPr>
        <w:pStyle w:val="46"/>
        <w:spacing w:line="348" w:lineRule="auto"/>
        <w:ind w:firstLine="800"/>
      </w:pPr>
      <w:r>
        <w:rPr>
          <w:rFonts w:hint="eastAsia"/>
        </w:rPr>
        <w:t>停产停业损失补助补偿</w:t>
      </w:r>
    </w:p>
    <w:p>
      <w:pPr>
        <w:spacing w:line="348" w:lineRule="auto"/>
        <w:ind w:firstLine="640"/>
        <w:rPr>
          <w:rFonts w:cs="Times New Roman"/>
        </w:rPr>
      </w:pPr>
      <w:r>
        <w:rPr>
          <w:rFonts w:hint="eastAsia"/>
        </w:rPr>
        <w:t>征收</w:t>
      </w:r>
      <w:r>
        <w:rPr>
          <w:rFonts w:hint="eastAsia" w:cs="Times New Roman"/>
        </w:rPr>
        <w:t>非住宅房屋，被</w:t>
      </w:r>
      <w:r>
        <w:rPr>
          <w:rFonts w:hint="eastAsia"/>
        </w:rPr>
        <w:t>征收</w:t>
      </w:r>
      <w:r>
        <w:rPr>
          <w:rFonts w:hint="eastAsia" w:cs="Times New Roman"/>
        </w:rPr>
        <w:t>人选择产权调换或者货币补偿的，均发放停产停业损失补助，该项补偿标准由被</w:t>
      </w:r>
      <w:r>
        <w:rPr>
          <w:rFonts w:hint="eastAsia"/>
        </w:rPr>
        <w:t>征收</w:t>
      </w:r>
      <w:r>
        <w:rPr>
          <w:rFonts w:hint="eastAsia" w:cs="Times New Roman"/>
        </w:rPr>
        <w:t>人在下列方式中选择确定：</w:t>
      </w:r>
    </w:p>
    <w:p>
      <w:pPr>
        <w:pStyle w:val="48"/>
        <w:spacing w:line="348" w:lineRule="auto"/>
        <w:ind w:firstLine="800" w:firstLineChars="250"/>
      </w:pPr>
      <w:r>
        <w:rPr>
          <w:rFonts w:hint="eastAsia"/>
        </w:rPr>
        <w:t>由具有相应资质的评估机构依法评估确定；</w:t>
      </w:r>
    </w:p>
    <w:p>
      <w:pPr>
        <w:pStyle w:val="48"/>
        <w:spacing w:line="348" w:lineRule="auto"/>
        <w:ind w:firstLine="800" w:firstLineChars="250"/>
        <w:rPr>
          <w:rFonts w:ascii="仿宋_GB2312" w:cs="Times New Roman"/>
        </w:rPr>
      </w:pPr>
      <w:r>
        <w:rPr>
          <w:rFonts w:hint="eastAsia"/>
        </w:rPr>
        <w:t>以税务部门核准的平均净利润计算确定，按月补偿，补偿</w:t>
      </w:r>
      <w:r>
        <w:rPr>
          <w:rFonts w:hint="eastAsia" w:ascii="仿宋_GB2312" w:cs="Times New Roman"/>
        </w:rPr>
        <w:t>期限最长不超过</w:t>
      </w:r>
      <w:r>
        <w:rPr>
          <w:rFonts w:ascii="仿宋_GB2312" w:cs="Times New Roman"/>
        </w:rPr>
        <w:t>6</w:t>
      </w:r>
      <w:r>
        <w:rPr>
          <w:rFonts w:hint="eastAsia" w:ascii="仿宋_GB2312" w:cs="Times New Roman"/>
        </w:rPr>
        <w:t>个月；</w:t>
      </w:r>
    </w:p>
    <w:p>
      <w:pPr>
        <w:pStyle w:val="48"/>
        <w:spacing w:line="348" w:lineRule="auto"/>
        <w:ind w:firstLine="800" w:firstLineChars="250"/>
        <w:rPr>
          <w:rFonts w:ascii="仿宋_GB2312" w:cs="Times New Roman"/>
        </w:rPr>
      </w:pPr>
      <w:r>
        <w:rPr>
          <w:rFonts w:hint="eastAsia" w:ascii="仿宋_GB2312" w:cs="Times New Roman"/>
        </w:rPr>
        <w:t>以税务部门核准的营业额确定，按月补偿，补偿期限最长不超过</w:t>
      </w:r>
      <w:r>
        <w:rPr>
          <w:rFonts w:ascii="仿宋_GB2312" w:cs="Times New Roman"/>
        </w:rPr>
        <w:t>6</w:t>
      </w:r>
      <w:r>
        <w:rPr>
          <w:rFonts w:hint="eastAsia" w:ascii="仿宋_GB2312" w:cs="Times New Roman"/>
        </w:rPr>
        <w:t>个月。</w:t>
      </w:r>
    </w:p>
    <w:p>
      <w:pPr>
        <w:pStyle w:val="46"/>
        <w:spacing w:line="348" w:lineRule="auto"/>
        <w:ind w:firstLine="800"/>
      </w:pPr>
      <w:r>
        <w:rPr>
          <w:rFonts w:hint="eastAsia"/>
        </w:rPr>
        <w:t>底层住宅改变为商业经营用房情形</w:t>
      </w:r>
    </w:p>
    <w:p>
      <w:pPr>
        <w:spacing w:line="348" w:lineRule="auto"/>
        <w:ind w:firstLine="640"/>
        <w:rPr>
          <w:rFonts w:cs="Times New Roman"/>
        </w:rPr>
      </w:pPr>
      <w:r>
        <w:rPr>
          <w:rFonts w:hint="eastAsia" w:cs="Times New Roman"/>
        </w:rPr>
        <w:t>被</w:t>
      </w:r>
      <w:r>
        <w:rPr>
          <w:rFonts w:hint="eastAsia"/>
        </w:rPr>
        <w:t>征收</w:t>
      </w:r>
      <w:r>
        <w:rPr>
          <w:rFonts w:hint="eastAsia" w:cs="Times New Roman"/>
        </w:rPr>
        <w:t>人将临街的底层住宅改变为商业经营用房，同时符合下列条件，按照第（一）款住宅房屋补偿，另外按照本项目房屋征收公告之日被</w:t>
      </w:r>
      <w:r>
        <w:rPr>
          <w:rFonts w:hint="eastAsia"/>
        </w:rPr>
        <w:t>征收</w:t>
      </w:r>
      <w:r>
        <w:rPr>
          <w:rFonts w:hint="eastAsia" w:cs="Times New Roman"/>
        </w:rPr>
        <w:t>房屋作为居住类住房的市场评估价格的</w:t>
      </w:r>
      <w:r>
        <w:rPr>
          <w:rFonts w:cs="Times New Roman"/>
        </w:rPr>
        <w:t>50%</w:t>
      </w:r>
      <w:r>
        <w:rPr>
          <w:rFonts w:hint="eastAsia" w:cs="Times New Roman"/>
        </w:rPr>
        <w:t>给予货币补偿：</w:t>
      </w:r>
    </w:p>
    <w:p>
      <w:pPr>
        <w:pStyle w:val="48"/>
        <w:spacing w:line="348" w:lineRule="auto"/>
        <w:ind w:firstLine="800" w:firstLineChars="250"/>
      </w:pPr>
      <w:r>
        <w:rPr>
          <w:rFonts w:hint="eastAsia"/>
        </w:rPr>
        <w:t>持有房屋权属证书；</w:t>
      </w:r>
    </w:p>
    <w:p>
      <w:pPr>
        <w:pStyle w:val="48"/>
        <w:spacing w:line="348" w:lineRule="auto"/>
        <w:ind w:firstLine="800" w:firstLineChars="250"/>
      </w:pPr>
      <w:r>
        <w:rPr>
          <w:rFonts w:hint="eastAsia"/>
        </w:rPr>
        <w:t>在</w:t>
      </w:r>
      <w:r>
        <w:t>2008</w:t>
      </w:r>
      <w:r>
        <w:rPr>
          <w:rFonts w:hint="eastAsia"/>
        </w:rPr>
        <w:t>年</w:t>
      </w:r>
      <w:r>
        <w:t>1</w:t>
      </w:r>
      <w:r>
        <w:rPr>
          <w:rFonts w:hint="eastAsia"/>
        </w:rPr>
        <w:t>月</w:t>
      </w:r>
      <w:r>
        <w:t>1</w:t>
      </w:r>
      <w:r>
        <w:rPr>
          <w:rFonts w:hint="eastAsia"/>
        </w:rPr>
        <w:t>日《中华人民共和国城乡规划法》施行之前依法登记成立的，征收时持有营业执照并正在营业中；</w:t>
      </w:r>
    </w:p>
    <w:p>
      <w:pPr>
        <w:pStyle w:val="48"/>
        <w:spacing w:line="348" w:lineRule="auto"/>
        <w:ind w:firstLine="800" w:firstLineChars="250"/>
      </w:pPr>
      <w:r>
        <w:rPr>
          <w:rFonts w:hint="eastAsia"/>
        </w:rPr>
        <w:t>被征收前连续</w:t>
      </w:r>
      <w:r>
        <w:t>3</w:t>
      </w:r>
      <w:r>
        <w:rPr>
          <w:rFonts w:hint="eastAsia"/>
        </w:rPr>
        <w:t>年以上（含</w:t>
      </w:r>
      <w:r>
        <w:t>3</w:t>
      </w:r>
      <w:r>
        <w:rPr>
          <w:rFonts w:hint="eastAsia"/>
        </w:rPr>
        <w:t>年）依法纳税。</w:t>
      </w:r>
    </w:p>
    <w:p>
      <w:pPr>
        <w:spacing w:line="348" w:lineRule="auto"/>
        <w:ind w:firstLine="640"/>
        <w:rPr>
          <w:rFonts w:cs="Times New Roman"/>
        </w:rPr>
      </w:pPr>
      <w:r>
        <w:rPr>
          <w:rFonts w:hint="eastAsia" w:cs="Times New Roman"/>
        </w:rPr>
        <w:t>被</w:t>
      </w:r>
      <w:r>
        <w:rPr>
          <w:rFonts w:hint="eastAsia"/>
        </w:rPr>
        <w:t>征收</w:t>
      </w:r>
      <w:r>
        <w:rPr>
          <w:rFonts w:hint="eastAsia" w:cs="Times New Roman"/>
        </w:rPr>
        <w:t>人将住宅改变为商业经营用房行为符合相关法律法规规定的，也按照本条款规定予以补偿。被</w:t>
      </w:r>
      <w:r>
        <w:rPr>
          <w:rFonts w:hint="eastAsia"/>
        </w:rPr>
        <w:t>征收</w:t>
      </w:r>
      <w:r>
        <w:rPr>
          <w:rFonts w:hint="eastAsia" w:cs="Times New Roman"/>
        </w:rPr>
        <w:t>人选择产权调换或者货币补偿的，均发放停产停业损失补助。</w:t>
      </w:r>
    </w:p>
    <w:p>
      <w:pPr>
        <w:pStyle w:val="43"/>
        <w:spacing w:line="348" w:lineRule="auto"/>
        <w:ind w:firstLine="640"/>
      </w:pPr>
      <w:r>
        <w:rPr>
          <w:rFonts w:hint="eastAsia"/>
        </w:rPr>
        <w:t>安置房超选套内面积的差价结算</w:t>
      </w:r>
    </w:p>
    <w:p>
      <w:pPr>
        <w:spacing w:line="348" w:lineRule="auto"/>
        <w:ind w:firstLine="641" w:firstLineChars="0"/>
        <w:rPr>
          <w:rFonts w:cs="Times New Roman"/>
        </w:rPr>
      </w:pPr>
      <w:r>
        <w:rPr>
          <w:rFonts w:hint="eastAsia" w:cs="Times New Roman"/>
        </w:rPr>
        <w:t>安置房套内面积大于</w:t>
      </w:r>
      <w:r>
        <w:rPr>
          <w:rFonts w:hint="eastAsia"/>
        </w:rPr>
        <w:t>征收</w:t>
      </w:r>
      <w:r>
        <w:rPr>
          <w:rFonts w:hint="eastAsia" w:cs="Times New Roman"/>
        </w:rPr>
        <w:t>补偿安置协议中的产权调换套内面积的部分为超选套内面积。</w:t>
      </w:r>
    </w:p>
    <w:p>
      <w:pPr>
        <w:spacing w:line="348" w:lineRule="auto"/>
        <w:ind w:firstLine="640"/>
        <w:rPr>
          <w:rFonts w:cs="Times New Roman"/>
        </w:rPr>
      </w:pPr>
      <w:r>
        <w:rPr>
          <w:rFonts w:hint="eastAsia" w:cs="Times New Roman"/>
        </w:rPr>
        <w:t>被</w:t>
      </w:r>
      <w:r>
        <w:rPr>
          <w:rFonts w:hint="eastAsia"/>
        </w:rPr>
        <w:t>征收</w:t>
      </w:r>
      <w:r>
        <w:rPr>
          <w:rFonts w:hint="eastAsia" w:cs="Times New Roman"/>
        </w:rPr>
        <w:t>人选择产权调换的，对于安置房超选部分的套内面积，被</w:t>
      </w:r>
      <w:r>
        <w:rPr>
          <w:rFonts w:hint="eastAsia"/>
        </w:rPr>
        <w:t>征收</w:t>
      </w:r>
      <w:r>
        <w:rPr>
          <w:rFonts w:hint="eastAsia" w:cs="Times New Roman"/>
        </w:rPr>
        <w:t>人可在下列两种结差标准中自行选择：</w:t>
      </w:r>
    </w:p>
    <w:p>
      <w:pPr>
        <w:pStyle w:val="48"/>
        <w:spacing w:line="348" w:lineRule="auto"/>
        <w:ind w:firstLine="800" w:firstLineChars="250"/>
      </w:pPr>
      <w:r>
        <w:rPr>
          <w:rFonts w:hint="eastAsia"/>
        </w:rPr>
        <w:t>超选套内面积在</w:t>
      </w:r>
      <w:r>
        <w:t>5</w:t>
      </w:r>
      <w:r>
        <w:rPr>
          <w:rFonts w:hint="eastAsia" w:ascii="Segoe UI Symbol" w:hAnsi="Segoe UI Symbol" w:eastAsia="Segoe UI Symbol" w:cs="Segoe UI Symbol"/>
        </w:rPr>
        <w:t>㎡</w:t>
      </w:r>
      <w:r>
        <w:rPr>
          <w:rFonts w:hint="eastAsia"/>
        </w:rPr>
        <w:t>以内（含</w:t>
      </w:r>
      <w:r>
        <w:t>5</w:t>
      </w:r>
      <w:r>
        <w:rPr>
          <w:rFonts w:hint="eastAsia" w:ascii="Segoe UI Symbol" w:hAnsi="Segoe UI Symbol" w:eastAsia="Segoe UI Symbol" w:cs="Segoe UI Symbol"/>
        </w:rPr>
        <w:t>㎡</w:t>
      </w:r>
      <w:r>
        <w:rPr>
          <w:rFonts w:hint="eastAsia"/>
        </w:rPr>
        <w:t>）的部分，按建安成本价（以市发改概算批复价格为准）结清差价；超选套内面积超出</w:t>
      </w:r>
      <w:r>
        <w:t>5</w:t>
      </w:r>
      <w:r>
        <w:rPr>
          <w:rFonts w:hint="eastAsia" w:ascii="Segoe UI Symbol" w:hAnsi="Segoe UI Symbol" w:eastAsia="Segoe UI Symbol" w:cs="Segoe UI Symbol"/>
        </w:rPr>
        <w:t>㎡</w:t>
      </w:r>
      <w:r>
        <w:rPr>
          <w:rFonts w:hint="eastAsia"/>
        </w:rPr>
        <w:t>的部分，按安置房房地产市场评估价格结清差价。</w:t>
      </w:r>
    </w:p>
    <w:p>
      <w:pPr>
        <w:pStyle w:val="48"/>
        <w:spacing w:line="348" w:lineRule="auto"/>
        <w:ind w:firstLine="800" w:firstLineChars="250"/>
        <w:rPr>
          <w:rFonts w:ascii="仿宋_GB2312" w:cs="Times New Roman"/>
        </w:rPr>
      </w:pPr>
      <w:r>
        <w:rPr>
          <w:rFonts w:hint="eastAsia"/>
        </w:rPr>
        <w:t>超选套内面积在</w:t>
      </w:r>
      <w:r>
        <w:t>5%</w:t>
      </w:r>
      <w:r>
        <w:rPr>
          <w:rFonts w:hint="eastAsia"/>
        </w:rPr>
        <w:t>以内（含</w:t>
      </w:r>
      <w:r>
        <w:t>5%</w:t>
      </w:r>
      <w:r>
        <w:rPr>
          <w:rFonts w:hint="eastAsia"/>
        </w:rPr>
        <w:t>）的部分，按建安成本价（以</w:t>
      </w:r>
      <w:r>
        <w:rPr>
          <w:rFonts w:hint="eastAsia" w:ascii="仿宋_GB2312" w:cs="Times New Roman"/>
        </w:rPr>
        <w:t>市发改概算批复价格为准）结清差价；超选套内面积超出</w:t>
      </w:r>
      <w:r>
        <w:rPr>
          <w:rFonts w:ascii="仿宋_GB2312" w:cs="Times New Roman"/>
        </w:rPr>
        <w:t>5%</w:t>
      </w:r>
      <w:r>
        <w:rPr>
          <w:rFonts w:hint="eastAsia" w:ascii="仿宋_GB2312" w:cs="Times New Roman"/>
        </w:rPr>
        <w:t>的部分，按安置房房地产市场评估价格结清差价。</w:t>
      </w:r>
    </w:p>
    <w:p>
      <w:pPr>
        <w:spacing w:line="348" w:lineRule="auto"/>
        <w:ind w:firstLine="640"/>
        <w:rPr>
          <w:rFonts w:cs="Times New Roman"/>
        </w:rPr>
      </w:pPr>
      <w:r>
        <w:rPr>
          <w:rFonts w:hint="eastAsia" w:cs="Times New Roman"/>
        </w:rPr>
        <w:t>被</w:t>
      </w:r>
      <w:r>
        <w:rPr>
          <w:rFonts w:hint="eastAsia"/>
        </w:rPr>
        <w:t>征收</w:t>
      </w:r>
      <w:r>
        <w:rPr>
          <w:rFonts w:hint="eastAsia" w:cs="Times New Roman"/>
        </w:rPr>
        <w:t>人选择货币补偿和产权调换相结合的，安置房超选面积小于或者等于货币补偿面积的，超选面积的差价按安置房房地产市场评估价格结清；安置房超选面积大于货币补偿面积的，超选面积中与货币补偿面积对等部分的差价，按安置房房地产市场评估价格结清，剩余超选面积由被</w:t>
      </w:r>
      <w:r>
        <w:rPr>
          <w:rFonts w:hint="eastAsia"/>
        </w:rPr>
        <w:t>征收</w:t>
      </w:r>
      <w:r>
        <w:rPr>
          <w:rFonts w:hint="eastAsia" w:cs="Times New Roman"/>
        </w:rPr>
        <w:t>人在前款两种标准中自行选择一种进行结差。</w:t>
      </w:r>
    </w:p>
    <w:p>
      <w:pPr>
        <w:pStyle w:val="43"/>
        <w:spacing w:line="348" w:lineRule="auto"/>
        <w:ind w:firstLine="640"/>
      </w:pPr>
      <w:r>
        <w:rPr>
          <w:rFonts w:hint="eastAsia"/>
        </w:rPr>
        <w:t>房屋价值评估方式</w:t>
      </w:r>
    </w:p>
    <w:p>
      <w:pPr>
        <w:spacing w:line="348" w:lineRule="auto"/>
        <w:ind w:firstLine="640"/>
        <w:rPr>
          <w:rFonts w:cs="Times New Roman"/>
        </w:rPr>
      </w:pPr>
      <w:r>
        <w:rPr>
          <w:rFonts w:hint="eastAsia" w:cs="Times New Roman"/>
        </w:rPr>
        <w:t>房屋的价值，由具有相应资质的房地产价格评估机构依法评估确定。房地产价格评估机构由被</w:t>
      </w:r>
      <w:r>
        <w:rPr>
          <w:rFonts w:hint="eastAsia"/>
        </w:rPr>
        <w:t>征收</w:t>
      </w:r>
      <w:r>
        <w:rPr>
          <w:rFonts w:hint="eastAsia" w:cs="Times New Roman"/>
        </w:rPr>
        <w:t>人协商选定；在规定时间内协商不成的，由房屋征收部门组织被</w:t>
      </w:r>
      <w:r>
        <w:rPr>
          <w:rFonts w:hint="eastAsia"/>
        </w:rPr>
        <w:t>征收</w:t>
      </w:r>
      <w:r>
        <w:rPr>
          <w:rFonts w:hint="eastAsia" w:cs="Times New Roman"/>
        </w:rPr>
        <w:t>人按照多数决定的原则投票决定，或由房屋征收部门随机抽取；被</w:t>
      </w:r>
      <w:r>
        <w:rPr>
          <w:rFonts w:hint="eastAsia"/>
        </w:rPr>
        <w:t>征收</w:t>
      </w:r>
      <w:r>
        <w:rPr>
          <w:rFonts w:hint="eastAsia" w:cs="Times New Roman"/>
        </w:rPr>
        <w:t>房屋和用于产权调换房屋的价值评估时间节点为房屋</w:t>
      </w:r>
      <w:r>
        <w:rPr>
          <w:rFonts w:hint="eastAsia"/>
        </w:rPr>
        <w:t>征收</w:t>
      </w:r>
      <w:r>
        <w:rPr>
          <w:rFonts w:hint="eastAsia" w:cs="Times New Roman"/>
        </w:rPr>
        <w:t>决定公告之日。</w:t>
      </w:r>
    </w:p>
    <w:p>
      <w:pPr>
        <w:pStyle w:val="43"/>
        <w:spacing w:line="348" w:lineRule="auto"/>
        <w:ind w:firstLine="640"/>
      </w:pPr>
      <w:r>
        <w:rPr>
          <w:rFonts w:hint="eastAsia"/>
        </w:rPr>
        <w:t>房屋装修及地上附着物补偿</w:t>
      </w:r>
    </w:p>
    <w:p>
      <w:pPr>
        <w:spacing w:line="348" w:lineRule="auto"/>
        <w:ind w:firstLine="640"/>
        <w:rPr>
          <w:rFonts w:cs="Times New Roman"/>
        </w:rPr>
      </w:pPr>
      <w:r>
        <w:rPr>
          <w:rFonts w:hint="eastAsia" w:cs="Times New Roman"/>
        </w:rPr>
        <w:t>被</w:t>
      </w:r>
      <w:r>
        <w:rPr>
          <w:rFonts w:hint="eastAsia"/>
        </w:rPr>
        <w:t>征收</w:t>
      </w:r>
      <w:r>
        <w:rPr>
          <w:rFonts w:hint="eastAsia" w:cs="Times New Roman"/>
        </w:rPr>
        <w:t>房屋装修及地上附着物补偿标准，由被</w:t>
      </w:r>
      <w:r>
        <w:rPr>
          <w:rFonts w:hint="eastAsia"/>
        </w:rPr>
        <w:t>征收</w:t>
      </w:r>
      <w:r>
        <w:rPr>
          <w:rFonts w:hint="eastAsia" w:cs="Times New Roman"/>
        </w:rPr>
        <w:t>人自行选择参照三亚市集体土地征收补偿安置标准执行，或按照市场评估作价补偿。</w:t>
      </w:r>
    </w:p>
    <w:p>
      <w:pPr>
        <w:pStyle w:val="42"/>
        <w:spacing w:line="348" w:lineRule="auto"/>
        <w:ind w:firstLine="640"/>
      </w:pPr>
      <w:r>
        <w:rPr>
          <w:rFonts w:hint="eastAsia"/>
        </w:rPr>
        <w:t>临时过渡安置费及搬迁补助</w:t>
      </w:r>
    </w:p>
    <w:p>
      <w:pPr>
        <w:pStyle w:val="43"/>
        <w:spacing w:line="348" w:lineRule="auto"/>
        <w:ind w:firstLine="640"/>
      </w:pPr>
      <w:r>
        <w:rPr>
          <w:rFonts w:hint="eastAsia"/>
        </w:rPr>
        <w:t>临时过渡安置费</w:t>
      </w:r>
    </w:p>
    <w:p>
      <w:pPr>
        <w:pStyle w:val="46"/>
        <w:spacing w:line="348" w:lineRule="auto"/>
        <w:ind w:firstLine="800"/>
      </w:pPr>
      <w:r>
        <w:t>临时过渡安置由被征收人自行解决的，按照下列标准一次性发放</w:t>
      </w:r>
      <w:r>
        <w:rPr>
          <w:rFonts w:hint="eastAsia"/>
        </w:rPr>
        <w:t>两年</w:t>
      </w:r>
      <w:r>
        <w:t>（24个月）的临时过渡费给被征收人（临时过渡安置期以被征收人签订征收补偿安置协议并腾空居住房屋之日起计算，临时过渡期根据安置房建设实际情况而定），具体如下：</w:t>
      </w:r>
    </w:p>
    <w:p>
      <w:pPr>
        <w:pStyle w:val="48"/>
        <w:spacing w:line="348" w:lineRule="auto"/>
        <w:ind w:firstLine="800"/>
      </w:pPr>
      <w:r>
        <w:t>选择产权调换的套内面积在200平方米以下的（含200平方米），按4000元/户/月的标准发放临时过渡安置费。</w:t>
      </w:r>
    </w:p>
    <w:p>
      <w:pPr>
        <w:pStyle w:val="48"/>
        <w:spacing w:line="348" w:lineRule="auto"/>
        <w:ind w:firstLine="800"/>
      </w:pPr>
      <w:r>
        <w:t>选择产权调换的套内面积在200-300平方米以内的（含300平方米），按6000元/户/月的标准发放临时过渡安置费。</w:t>
      </w:r>
    </w:p>
    <w:p>
      <w:pPr>
        <w:pStyle w:val="48"/>
        <w:spacing w:line="348" w:lineRule="auto"/>
        <w:ind w:firstLine="800"/>
      </w:pPr>
      <w:r>
        <w:t>选择产权调换的套内面积在300-400平方米以内的（含400平方米），按8000元/户/月的标准发放临时过渡安置费。</w:t>
      </w:r>
    </w:p>
    <w:p>
      <w:pPr>
        <w:pStyle w:val="48"/>
        <w:spacing w:line="348" w:lineRule="auto"/>
        <w:ind w:firstLine="800"/>
      </w:pPr>
      <w:r>
        <w:t>选择产权调换的套内面积在400平方米以上的，按10000元/户/月的标准发放临时过渡安置费。</w:t>
      </w:r>
    </w:p>
    <w:p>
      <w:pPr>
        <w:pStyle w:val="46"/>
        <w:spacing w:line="348" w:lineRule="auto"/>
        <w:ind w:firstLine="800"/>
      </w:pPr>
      <w:r>
        <w:t>临时过渡安置期满</w:t>
      </w:r>
      <w:r>
        <w:rPr>
          <w:rFonts w:hint="eastAsia"/>
        </w:rPr>
        <w:t>两年</w:t>
      </w:r>
      <w:r>
        <w:t>（24个月）后，被征收人仍未得到妥善安置的，根据安置区实际建筑情况继续发放临时过渡安置费，直至通知办理安置房交房手续之日</w:t>
      </w:r>
      <w:r>
        <w:rPr>
          <w:rFonts w:hint="eastAsia"/>
        </w:rPr>
        <w:t>起</w:t>
      </w:r>
      <w:r>
        <w:t>3个月止。被征收人无正当理由拒绝安置或拖延办理收房手续的，以通知被征收人办理安置或收房手续之日作为停发临时过渡安置费的截止点，因此产生的不利后果由被征收人承担。</w:t>
      </w:r>
    </w:p>
    <w:p>
      <w:pPr>
        <w:pStyle w:val="46"/>
        <w:spacing w:line="348" w:lineRule="auto"/>
        <w:ind w:firstLine="800"/>
      </w:pPr>
      <w:r>
        <w:t>已选择单一货币补偿的被征收人不再享受临时过渡安置补偿。</w:t>
      </w:r>
    </w:p>
    <w:p>
      <w:pPr>
        <w:pStyle w:val="43"/>
        <w:spacing w:line="348" w:lineRule="auto"/>
        <w:ind w:firstLine="640"/>
      </w:pPr>
      <w:r>
        <w:rPr>
          <w:rFonts w:hint="eastAsia"/>
        </w:rPr>
        <w:t>搬迁补助费</w:t>
      </w:r>
      <w:r>
        <w:t xml:space="preserve"> </w:t>
      </w:r>
    </w:p>
    <w:p>
      <w:pPr>
        <w:spacing w:line="348" w:lineRule="auto"/>
        <w:ind w:firstLine="640"/>
      </w:pPr>
      <w:r>
        <w:rPr>
          <w:rFonts w:hint="eastAsia"/>
        </w:rPr>
        <w:t>搬迁补助费标准为</w:t>
      </w:r>
      <w:r>
        <w:t>3600元/户。被征收人选择单一货币补偿的，一次性结清</w:t>
      </w:r>
      <w:r>
        <w:rPr>
          <w:rFonts w:hint="eastAsia"/>
        </w:rPr>
        <w:t>搬迁</w:t>
      </w:r>
      <w:r>
        <w:t>补助费；选择产权调换、产权调换与货币补偿相结合的，按两次计算</w:t>
      </w:r>
      <w:r>
        <w:rPr>
          <w:rFonts w:hint="eastAsia"/>
        </w:rPr>
        <w:t>搬迁</w:t>
      </w:r>
      <w:r>
        <w:t>补助费。</w:t>
      </w:r>
    </w:p>
    <w:p>
      <w:pPr>
        <w:pStyle w:val="43"/>
        <w:spacing w:line="348" w:lineRule="auto"/>
        <w:ind w:firstLine="640"/>
      </w:pPr>
      <w:r>
        <w:rPr>
          <w:rFonts w:hint="eastAsia"/>
        </w:rPr>
        <w:t>其他补偿费用</w:t>
      </w:r>
    </w:p>
    <w:p>
      <w:pPr>
        <w:spacing w:line="348" w:lineRule="auto"/>
        <w:ind w:firstLine="640"/>
      </w:pPr>
      <w:r>
        <w:t>1.空调迁移补助费：300元/部。</w:t>
      </w:r>
    </w:p>
    <w:p>
      <w:pPr>
        <w:spacing w:line="348" w:lineRule="auto"/>
        <w:ind w:firstLine="640"/>
      </w:pPr>
      <w:r>
        <w:t>2.电话迁移补助费：200元/部。</w:t>
      </w:r>
    </w:p>
    <w:p>
      <w:pPr>
        <w:spacing w:line="348" w:lineRule="auto"/>
        <w:ind w:firstLine="640"/>
      </w:pPr>
      <w:r>
        <w:t>3.有线电视、数字电视迁移补助费：400元/户。</w:t>
      </w:r>
    </w:p>
    <w:p>
      <w:pPr>
        <w:spacing w:line="348" w:lineRule="auto"/>
        <w:ind w:firstLine="640"/>
      </w:pPr>
      <w:r>
        <w:t>4.太阳能热水器设备迁移补助费：800元/部。</w:t>
      </w:r>
    </w:p>
    <w:p>
      <w:pPr>
        <w:spacing w:line="348" w:lineRule="auto"/>
        <w:ind w:firstLine="640"/>
      </w:pPr>
      <w:r>
        <w:t>5.水表迁移补助费：500元/户。</w:t>
      </w:r>
    </w:p>
    <w:p>
      <w:pPr>
        <w:spacing w:line="348" w:lineRule="auto"/>
        <w:ind w:firstLine="640"/>
      </w:pPr>
      <w:r>
        <w:t>6.电表迁移补助费：600元/户。</w:t>
      </w:r>
    </w:p>
    <w:p>
      <w:pPr>
        <w:spacing w:line="348" w:lineRule="auto"/>
        <w:ind w:firstLine="640"/>
      </w:pPr>
      <w:r>
        <w:t>7. 天然气迁移补助费：2500元/户。</w:t>
      </w:r>
    </w:p>
    <w:p>
      <w:pPr>
        <w:pStyle w:val="42"/>
        <w:spacing w:line="348" w:lineRule="auto"/>
        <w:ind w:firstLine="640"/>
      </w:pPr>
      <w:r>
        <w:rPr>
          <w:rFonts w:hint="eastAsia"/>
        </w:rPr>
        <w:t>安置房建设地点、建设标准及选房原则</w:t>
      </w:r>
    </w:p>
    <w:p>
      <w:pPr>
        <w:pStyle w:val="43"/>
        <w:spacing w:line="348" w:lineRule="auto"/>
        <w:ind w:firstLine="640"/>
      </w:pPr>
      <w:r>
        <w:rPr>
          <w:rFonts w:hint="eastAsia"/>
        </w:rPr>
        <w:t>安置房建设地点</w:t>
      </w:r>
    </w:p>
    <w:p>
      <w:pPr>
        <w:pStyle w:val="46"/>
        <w:spacing w:line="348" w:lineRule="auto"/>
        <w:ind w:firstLine="800"/>
      </w:pPr>
      <w:r>
        <w:rPr>
          <w:rFonts w:hint="eastAsia"/>
        </w:rPr>
        <w:t>就近</w:t>
      </w:r>
      <w:r>
        <w:t>安置：项目范围内建设安置房。</w:t>
      </w:r>
    </w:p>
    <w:p>
      <w:pPr>
        <w:pStyle w:val="46"/>
        <w:spacing w:line="348" w:lineRule="auto"/>
        <w:ind w:firstLine="800"/>
      </w:pPr>
      <w:r>
        <w:t>异地安置：只能进行异地安置的,或者被征收人自愿选择异地安置的,按照被征收人选定的产权调换套内面积10%给予被征收人奖励。</w:t>
      </w:r>
    </w:p>
    <w:p>
      <w:pPr>
        <w:pStyle w:val="43"/>
        <w:spacing w:line="348" w:lineRule="auto"/>
        <w:ind w:firstLine="640"/>
      </w:pPr>
      <w:r>
        <w:rPr>
          <w:rFonts w:hint="eastAsia"/>
        </w:rPr>
        <w:t>安置房建设标准</w:t>
      </w:r>
    </w:p>
    <w:p>
      <w:pPr>
        <w:spacing w:line="348" w:lineRule="auto"/>
        <w:ind w:firstLine="640"/>
      </w:pPr>
      <w:r>
        <w:rPr>
          <w:rFonts w:hint="eastAsia"/>
        </w:rPr>
        <w:t>根据统一规划、统一设计、统一建设和统一安置原则，按照如下标准建设（毛坯房）：</w:t>
      </w:r>
    </w:p>
    <w:p>
      <w:pPr>
        <w:pStyle w:val="46"/>
        <w:spacing w:line="348" w:lineRule="auto"/>
        <w:ind w:firstLine="800"/>
      </w:pPr>
      <w:r>
        <w:t>钢筋混凝土结构。</w:t>
      </w:r>
    </w:p>
    <w:p>
      <w:pPr>
        <w:pStyle w:val="46"/>
        <w:spacing w:line="348" w:lineRule="auto"/>
        <w:ind w:firstLine="800"/>
      </w:pPr>
      <w:r>
        <w:t>外墙涂料（以规划部门批准为准）。</w:t>
      </w:r>
    </w:p>
    <w:p>
      <w:pPr>
        <w:pStyle w:val="46"/>
        <w:spacing w:line="348" w:lineRule="auto"/>
        <w:ind w:firstLine="800"/>
      </w:pPr>
      <w:r>
        <w:t>入户大门为防盗门。</w:t>
      </w:r>
    </w:p>
    <w:p>
      <w:pPr>
        <w:pStyle w:val="46"/>
        <w:spacing w:line="348" w:lineRule="auto"/>
        <w:ind w:firstLine="800"/>
      </w:pPr>
      <w:r>
        <w:t>门窗为铝合金或PVC塑钢玻璃门窗。</w:t>
      </w:r>
    </w:p>
    <w:p>
      <w:pPr>
        <w:pStyle w:val="46"/>
        <w:spacing w:line="348" w:lineRule="auto"/>
        <w:ind w:firstLine="800"/>
      </w:pPr>
      <w:r>
        <w:t>各户入室强、弱电全部暗装到位。</w:t>
      </w:r>
    </w:p>
    <w:p>
      <w:pPr>
        <w:pStyle w:val="46"/>
        <w:spacing w:line="348" w:lineRule="auto"/>
        <w:ind w:firstLine="800"/>
      </w:pPr>
      <w:r>
        <w:t>每户独立水、电、气表。</w:t>
      </w:r>
    </w:p>
    <w:p>
      <w:pPr>
        <w:pStyle w:val="43"/>
        <w:spacing w:line="348" w:lineRule="auto"/>
        <w:ind w:firstLine="640"/>
      </w:pPr>
      <w:r>
        <w:rPr>
          <w:rFonts w:hint="eastAsia"/>
        </w:rPr>
        <w:t>安置房选房原则</w:t>
      </w:r>
    </w:p>
    <w:p>
      <w:pPr>
        <w:spacing w:line="348" w:lineRule="auto"/>
        <w:ind w:firstLine="640"/>
      </w:pPr>
      <w:r>
        <w:rPr>
          <w:rFonts w:hint="eastAsia"/>
        </w:rPr>
        <w:t>按被征收人签订征收补偿安置协议时间的先后确定选房顺序，优先选择安置房（包括朝向、楼层、户型和房号等）；同一日签订协议的，采取抽签的方式确定选房顺序。</w:t>
      </w:r>
    </w:p>
    <w:p>
      <w:pPr>
        <w:pStyle w:val="43"/>
        <w:spacing w:line="348" w:lineRule="auto"/>
        <w:ind w:firstLine="640"/>
      </w:pPr>
      <w:r>
        <w:rPr>
          <w:rFonts w:hint="eastAsia"/>
        </w:rPr>
        <w:t>安置房办证费用</w:t>
      </w:r>
    </w:p>
    <w:p>
      <w:pPr>
        <w:spacing w:line="348" w:lineRule="auto"/>
        <w:ind w:firstLine="640"/>
      </w:pPr>
      <w:r>
        <w:rPr>
          <w:rFonts w:hint="eastAsia"/>
        </w:rPr>
        <w:t>被征收人的房屋已依法取得房屋所有权证的，换发安置房屋不动产权证所需费用由征收人承担；被征收人的房屋未依法取得房屋所有权证的，征收人协助被征收人办理房屋不动产权证，换发安置房屋所有权证所需费用由被征收人承担；被征收人的房屋土地性质为划拨，安置房土地性质需办理为出让地的，由被征收人补交土地出让金；换发安置房屋不动产权证时安置房屋维修基金由被征收人承担。</w:t>
      </w:r>
    </w:p>
    <w:p>
      <w:pPr>
        <w:pStyle w:val="42"/>
        <w:spacing w:line="348" w:lineRule="auto"/>
        <w:ind w:firstLine="640"/>
      </w:pPr>
      <w:r>
        <w:rPr>
          <w:rFonts w:hint="eastAsia"/>
        </w:rPr>
        <w:t>积极配合奖励</w:t>
      </w:r>
    </w:p>
    <w:p>
      <w:pPr>
        <w:spacing w:line="348" w:lineRule="auto"/>
        <w:ind w:firstLine="640"/>
      </w:pPr>
      <w:r>
        <w:rPr>
          <w:rFonts w:hint="eastAsia"/>
        </w:rPr>
        <w:t>对符合安置条件的人员，积极配合进行清点、丈量和登记，在区政府公布的签约起始之日起</w:t>
      </w:r>
      <w:r>
        <w:t>45日内（含45日）签订房屋</w:t>
      </w:r>
      <w:r>
        <w:rPr>
          <w:rFonts w:hint="eastAsia"/>
        </w:rPr>
        <w:t>征收补偿安置</w:t>
      </w:r>
      <w:r>
        <w:t>协议（或预签约协议），并在签约之日起10日内将房屋腾空的，每户一次性给予8万元的积极配合奖励；自签约开始之日起，超过45日后至65天内签订房屋</w:t>
      </w:r>
      <w:r>
        <w:rPr>
          <w:rFonts w:hint="eastAsia"/>
        </w:rPr>
        <w:t>征收补偿安置</w:t>
      </w:r>
      <w:r>
        <w:t>协议（或预签约协议），并在签约之日起10日内将房屋腾空的，每户一次性给予5万元的积极配合奖励；自签约开始之日起，超过65日签订房屋</w:t>
      </w:r>
      <w:r>
        <w:rPr>
          <w:rFonts w:hint="eastAsia"/>
        </w:rPr>
        <w:t>征收补偿安置</w:t>
      </w:r>
      <w:r>
        <w:t>协议（或预签约协议）的，不享受积极配合奖励。</w:t>
      </w:r>
    </w:p>
    <w:p>
      <w:pPr>
        <w:spacing w:line="348" w:lineRule="auto"/>
        <w:ind w:firstLine="640"/>
      </w:pPr>
      <w:r>
        <w:rPr>
          <w:rFonts w:hint="eastAsia"/>
        </w:rPr>
        <w:t>对于应按《卓越新城（南区）城市更新项目产权归集方案》的规定与城市更新实施主体</w:t>
      </w:r>
      <w:r>
        <w:t>(归集人)签订房屋归集协议(或预签约协议)的被归集人，如被归集人未按规定的时间配合城市更新工作的，后续转由征收人实施征收的，征收人不再给予积极配合奖励。</w:t>
      </w:r>
    </w:p>
    <w:p>
      <w:pPr>
        <w:pStyle w:val="42"/>
        <w:spacing w:line="348" w:lineRule="auto"/>
        <w:ind w:firstLine="640"/>
      </w:pPr>
      <w:r>
        <w:rPr>
          <w:rFonts w:hint="eastAsia"/>
        </w:rPr>
        <w:t>福利保障</w:t>
      </w:r>
    </w:p>
    <w:p>
      <w:pPr>
        <w:pStyle w:val="43"/>
        <w:spacing w:line="348" w:lineRule="auto"/>
        <w:ind w:firstLine="640"/>
      </w:pPr>
      <w:r>
        <w:rPr>
          <w:rFonts w:hint="eastAsia"/>
        </w:rPr>
        <w:t>低保户政策</w:t>
      </w:r>
    </w:p>
    <w:p>
      <w:pPr>
        <w:spacing w:line="348" w:lineRule="auto"/>
        <w:ind w:firstLine="640"/>
      </w:pPr>
      <w:r>
        <w:rPr>
          <w:rFonts w:hint="eastAsia"/>
        </w:rPr>
        <w:t>被征收人的家庭人均收入低于最低生活保障的，依法将其纳入最低生活保障；</w:t>
      </w:r>
    </w:p>
    <w:p>
      <w:pPr>
        <w:spacing w:line="348" w:lineRule="auto"/>
        <w:ind w:firstLine="640"/>
      </w:pPr>
      <w:r>
        <w:rPr>
          <w:rFonts w:hint="eastAsia"/>
        </w:rPr>
        <w:t>户籍在房屋征收（产权归集）范围内、无自主产权房屋且居住在房屋征收（产权归集）范围内的低保户，可直接向市住房城乡建设主管部门申请租赁住房补贴或公共租赁住房实物配租。</w:t>
      </w:r>
    </w:p>
    <w:p>
      <w:pPr>
        <w:pStyle w:val="43"/>
        <w:spacing w:line="348" w:lineRule="auto"/>
        <w:ind w:firstLine="640"/>
      </w:pPr>
      <w:r>
        <w:rPr>
          <w:rFonts w:hint="eastAsia"/>
        </w:rPr>
        <w:t>就业、教育、社会保障及其他政策</w:t>
      </w:r>
    </w:p>
    <w:p>
      <w:pPr>
        <w:spacing w:line="348" w:lineRule="auto"/>
        <w:ind w:firstLine="640"/>
      </w:pPr>
      <w:r>
        <w:rPr>
          <w:rFonts w:hint="eastAsia"/>
        </w:rPr>
        <w:t>被征收人中的零就业家庭成员、抚养未成年子女的单亲家庭成员和享受最低生活保障待遇的人员，在法定劳动年龄内、有劳动能力和就业愿望的，市、区人力资源社会保障部门应当将其纳入再就业政策扶持范围；</w:t>
      </w:r>
    </w:p>
    <w:p>
      <w:pPr>
        <w:spacing w:line="348" w:lineRule="auto"/>
        <w:ind w:firstLine="640"/>
      </w:pPr>
      <w:r>
        <w:rPr>
          <w:rFonts w:hint="eastAsia"/>
        </w:rPr>
        <w:t>人力资源社会保障部门应当免费为被征收人提供就业政策咨询、就业信息、职业指导和职业介绍等公共就业服务；</w:t>
      </w:r>
    </w:p>
    <w:p>
      <w:pPr>
        <w:spacing w:line="348" w:lineRule="auto"/>
        <w:ind w:firstLine="640"/>
      </w:pPr>
      <w:r>
        <w:rPr>
          <w:rFonts w:hint="eastAsia"/>
        </w:rPr>
        <w:t>被征收人的子女可以选择继续就读原学校，也可以选择转学就读。符合转学就读条件的，市教育部门应当依据其新迁住址划定的招生范围依法办理；</w:t>
      </w:r>
    </w:p>
    <w:p>
      <w:pPr>
        <w:pStyle w:val="42"/>
        <w:spacing w:line="348" w:lineRule="auto"/>
        <w:ind w:firstLine="640"/>
      </w:pPr>
      <w:r>
        <w:rPr>
          <w:rFonts w:hint="eastAsia"/>
        </w:rPr>
        <w:t>强制征收</w:t>
      </w:r>
      <w:r>
        <w:t xml:space="preserve">  </w:t>
      </w:r>
    </w:p>
    <w:p>
      <w:pPr>
        <w:spacing w:line="348" w:lineRule="auto"/>
        <w:ind w:firstLine="640"/>
      </w:pPr>
      <w:r>
        <w:rPr>
          <w:rFonts w:hint="eastAsia"/>
        </w:rPr>
        <w:t>征收人与被征收人达不成补偿协议的，由天涯区人民政府作出补偿决定，依法送达被征收人；被征收人的房屋所有权人不明确的，由天涯区人民政府作出补偿决定，并在房屋征收范围内予以公告。</w:t>
      </w:r>
    </w:p>
    <w:p>
      <w:pPr>
        <w:spacing w:line="348" w:lineRule="auto"/>
        <w:ind w:firstLine="640"/>
      </w:pPr>
      <w:r>
        <w:rPr>
          <w:rFonts w:hint="eastAsia"/>
        </w:rPr>
        <w:t>被征收人在法定期限内不申请行政复议或者不提起行政诉讼，在补偿决定规定的期限内又不配合征收的，由天涯区人民政府依法申请人民法院强制执行。</w:t>
      </w:r>
    </w:p>
    <w:p>
      <w:pPr>
        <w:pStyle w:val="42"/>
        <w:spacing w:line="348" w:lineRule="auto"/>
        <w:ind w:firstLine="640"/>
      </w:pPr>
      <w:r>
        <w:rPr>
          <w:rFonts w:hint="eastAsia"/>
        </w:rPr>
        <w:t>附则</w:t>
      </w:r>
    </w:p>
    <w:p>
      <w:pPr>
        <w:pStyle w:val="43"/>
        <w:spacing w:line="348" w:lineRule="auto"/>
        <w:ind w:firstLine="640"/>
      </w:pPr>
      <w:r>
        <w:t>本方案中的“户”按下列原则确定：被征收人的房屋有房屋所有权证书的，按照“一证一户”原则确定；没有房屋所有权证书，按照“一栋一户”的原则确定；行政事业单位、国有和集体企业的房改房、公房、经济适用房和单位集资房等福利住房，按“一协议一户”的原则确定。</w:t>
      </w:r>
    </w:p>
    <w:p>
      <w:pPr>
        <w:pStyle w:val="43"/>
        <w:spacing w:line="348" w:lineRule="auto"/>
        <w:ind w:firstLine="640"/>
      </w:pPr>
      <w:r>
        <w:t>本方案中“四层半”的含义：“四层”是指地上建筑四层总面积；“半层”是指地上四层平均每层面积的一半(计算方法：半层面积=地上四层总面积×1/4×50%)(含本数)。</w:t>
      </w:r>
    </w:p>
    <w:p>
      <w:pPr>
        <w:pStyle w:val="43"/>
        <w:spacing w:line="348" w:lineRule="auto"/>
        <w:ind w:firstLine="640"/>
      </w:pPr>
      <w:r>
        <w:t>本方案未尽事宜，按照《国有土地上房屋征收与补偿条例》及省、市有关规定，由</w:t>
      </w:r>
      <w:r>
        <w:rPr>
          <w:rFonts w:hint="eastAsia"/>
        </w:rPr>
        <w:t>征收实施</w:t>
      </w:r>
      <w:r>
        <w:t>单位与被征收人协商解决。</w:t>
      </w:r>
    </w:p>
    <w:p>
      <w:pPr>
        <w:pStyle w:val="43"/>
        <w:spacing w:line="348" w:lineRule="auto"/>
        <w:ind w:firstLine="640"/>
      </w:pPr>
      <w:r>
        <w:rPr>
          <w:rFonts w:hint="eastAsia"/>
        </w:rPr>
        <w:t>本征收补偿安置方案由三亚市天涯区人民政府负责解释。</w:t>
      </w:r>
    </w:p>
    <w:p>
      <w:pPr>
        <w:pStyle w:val="43"/>
        <w:spacing w:line="348" w:lineRule="auto"/>
        <w:ind w:firstLine="640"/>
      </w:pPr>
      <w:r>
        <w:rPr>
          <w:rFonts w:hint="eastAsia"/>
        </w:rPr>
        <w:t>本方案自公布之日起施行。</w:t>
      </w:r>
    </w:p>
    <w:p>
      <w:pPr>
        <w:pStyle w:val="42"/>
        <w:numPr>
          <w:ilvl w:val="0"/>
          <w:numId w:val="0"/>
        </w:numPr>
        <w:spacing w:line="360" w:lineRule="auto"/>
        <w:jc w:val="left"/>
        <w:rPr>
          <w:rFonts w:eastAsia="仿宋_GB2312"/>
        </w:rPr>
      </w:pP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2098" w:right="1474" w:bottom="1985" w:left="1588" w:header="1134" w:footer="1134"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Light">
    <w:altName w:val="Microsoft JhengHei"/>
    <w:panose1 w:val="00000000000000000000"/>
    <w:charset w:val="88"/>
    <w:family w:val="swiss"/>
    <w:pitch w:val="default"/>
    <w:sig w:usb0="00000000" w:usb1="00000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06F" w:usb1="1200FBEF" w:usb2="0064C000" w:usb3="00000002" w:csb0="00000001" w:csb1="4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0" w:firstLineChars="0"/>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919442762"/>
        <w:docPartObj>
          <w:docPartGallery w:val="autotext"/>
        </w:docPartObj>
      </w:sdtPr>
      <w:sdtEndPr>
        <w:rPr>
          <w:rFonts w:ascii="宋体" w:hAnsi="宋体" w:eastAsia="宋体"/>
          <w:sz w:val="28"/>
          <w:szCs w:val="28"/>
        </w:rPr>
      </w:sdtEndPr>
      <w:sdtContent>
        <w:r>
          <w:rPr>
            <w:rFonts w:eastAsia="宋体" w:cs="Times New Roman"/>
            <w:sz w:val="28"/>
            <w:szCs w:val="28"/>
          </w:rPr>
          <w:fldChar w:fldCharType="begin"/>
        </w:r>
        <w:r>
          <w:rPr>
            <w:rFonts w:eastAsia="宋体" w:cs="Times New Roman"/>
            <w:sz w:val="28"/>
            <w:szCs w:val="28"/>
          </w:rPr>
          <w:instrText xml:space="preserve">PAGE   \* MERGEFORMAT</w:instrText>
        </w:r>
        <w:r>
          <w:rPr>
            <w:rFonts w:eastAsia="宋体" w:cs="Times New Roman"/>
            <w:sz w:val="28"/>
            <w:szCs w:val="28"/>
          </w:rPr>
          <w:fldChar w:fldCharType="separate"/>
        </w:r>
        <w:r>
          <w:rPr>
            <w:rFonts w:cs="Times New Roman"/>
            <w:sz w:val="28"/>
            <w:szCs w:val="28"/>
            <w:lang w:val="zh-CN"/>
          </w:rPr>
          <w:t>1</w:t>
        </w:r>
        <w:r>
          <w:rPr>
            <w:rFonts w:eastAsia="宋体" w:cs="Times New Roman"/>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p>
    <w:pPr>
      <w:ind w:firstLine="640"/>
    </w:pPr>
  </w:p>
  <w:p>
    <w:pPr>
      <w:ind w:firstLine="640"/>
    </w:pPr>
  </w:p>
  <w:p>
    <w:pPr>
      <w:ind w:firstLine="640"/>
    </w:pPr>
  </w:p>
  <w:p>
    <w:pPr>
      <w:ind w:firstLine="640"/>
    </w:pPr>
  </w:p>
  <w:p>
    <w:pPr>
      <w:ind w:firstLine="640"/>
    </w:pPr>
  </w:p>
  <w:p>
    <w:pPr>
      <w:ind w:firstLine="640"/>
    </w:pPr>
  </w:p>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p>
    <w:pPr>
      <w:ind w:firstLine="640"/>
    </w:pPr>
  </w:p>
  <w:p>
    <w:pPr>
      <w:ind w:firstLine="640"/>
    </w:pPr>
  </w:p>
  <w:p>
    <w:pPr>
      <w:ind w:firstLine="640"/>
    </w:pPr>
  </w:p>
  <w:p>
    <w:pPr>
      <w:ind w:firstLine="640"/>
    </w:pPr>
  </w:p>
  <w:p>
    <w:pPr>
      <w:ind w:firstLine="640"/>
    </w:pPr>
  </w:p>
  <w:p>
    <w:pPr>
      <w:ind w:firstLine="640"/>
    </w:pPr>
  </w:p>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56A90"/>
    <w:multiLevelType w:val="multilevel"/>
    <w:tmpl w:val="48756A90"/>
    <w:lvl w:ilvl="0" w:tentative="0">
      <w:start w:val="1"/>
      <w:numFmt w:val="chineseCountingThousand"/>
      <w:pStyle w:val="42"/>
      <w:suff w:val="nothing"/>
      <w:lvlText w:val="%1、"/>
      <w:lvlJc w:val="left"/>
      <w:pPr>
        <w:ind w:left="0" w:firstLine="400"/>
      </w:pPr>
    </w:lvl>
    <w:lvl w:ilvl="1" w:tentative="0">
      <w:start w:val="1"/>
      <w:numFmt w:val="chineseCountingThousand"/>
      <w:pStyle w:val="43"/>
      <w:suff w:val="nothing"/>
      <w:lvlText w:val="（%2）"/>
      <w:lvlJc w:val="left"/>
      <w:pPr>
        <w:ind w:left="0" w:firstLine="400"/>
      </w:pPr>
    </w:lvl>
    <w:lvl w:ilvl="2" w:tentative="0">
      <w:start w:val="1"/>
      <w:numFmt w:val="decimal"/>
      <w:pStyle w:val="46"/>
      <w:suff w:val="nothing"/>
      <w:lvlText w:val="%3. "/>
      <w:lvlJc w:val="left"/>
      <w:pPr>
        <w:ind w:left="0" w:firstLine="600"/>
      </w:pPr>
    </w:lvl>
    <w:lvl w:ilvl="3" w:tentative="0">
      <w:start w:val="1"/>
      <w:numFmt w:val="decimal"/>
      <w:pStyle w:val="48"/>
      <w:suff w:val="nothing"/>
      <w:lvlText w:val="（%4）"/>
      <w:lvlJc w:val="left"/>
      <w:pPr>
        <w:ind w:left="0" w:firstLine="640"/>
      </w:pPr>
    </w:lvl>
    <w:lvl w:ilvl="4" w:tentative="0">
      <w:start w:val="1"/>
      <w:numFmt w:val="lowerLetter"/>
      <w:lvlText w:val="%5)"/>
      <w:lvlJc w:val="left"/>
      <w:pPr>
        <w:ind w:left="0" w:firstLine="0"/>
      </w:pPr>
    </w:lvl>
    <w:lvl w:ilvl="5" w:tentative="0">
      <w:start w:val="1"/>
      <w:numFmt w:val="lowerRoman"/>
      <w:lvlText w:val="%6."/>
      <w:lvlJc w:val="right"/>
      <w:pPr>
        <w:ind w:left="0" w:firstLine="0"/>
      </w:pPr>
    </w:lvl>
    <w:lvl w:ilvl="6" w:tentative="0">
      <w:start w:val="1"/>
      <w:numFmt w:val="decimal"/>
      <w:lvlText w:val="%7."/>
      <w:lvlJc w:val="left"/>
      <w:pPr>
        <w:ind w:left="0" w:firstLine="0"/>
      </w:pPr>
    </w:lvl>
    <w:lvl w:ilvl="7" w:tentative="0">
      <w:start w:val="1"/>
      <w:numFmt w:val="lowerLetter"/>
      <w:lvlText w:val="%8)"/>
      <w:lvlJc w:val="left"/>
      <w:pPr>
        <w:ind w:left="0" w:firstLine="0"/>
      </w:pPr>
    </w:lvl>
    <w:lvl w:ilvl="8" w:tentative="0">
      <w:start w:val="1"/>
      <w:numFmt w:val="lowerRoman"/>
      <w:lvlText w:val="%9."/>
      <w:lvlJc w:val="right"/>
      <w:pPr>
        <w:ind w:left="0" w:firstLine="0"/>
      </w:pPr>
    </w:lvl>
  </w:abstractNum>
  <w:abstractNum w:abstractNumId="1">
    <w:nsid w:val="570C4032"/>
    <w:multiLevelType w:val="multilevel"/>
    <w:tmpl w:val="570C403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31"/>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hideSpellingErrors/>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6"/>
    <w:rsid w:val="00014F5F"/>
    <w:rsid w:val="000153BA"/>
    <w:rsid w:val="000164F6"/>
    <w:rsid w:val="0002741C"/>
    <w:rsid w:val="0003015F"/>
    <w:rsid w:val="000323AB"/>
    <w:rsid w:val="000454C9"/>
    <w:rsid w:val="00061E57"/>
    <w:rsid w:val="00080AC0"/>
    <w:rsid w:val="00083BD9"/>
    <w:rsid w:val="00085162"/>
    <w:rsid w:val="000856FC"/>
    <w:rsid w:val="000866C2"/>
    <w:rsid w:val="00091ED8"/>
    <w:rsid w:val="000C1BD7"/>
    <w:rsid w:val="000C4141"/>
    <w:rsid w:val="000C6291"/>
    <w:rsid w:val="000D23A8"/>
    <w:rsid w:val="000E200E"/>
    <w:rsid w:val="000F6B10"/>
    <w:rsid w:val="0010695E"/>
    <w:rsid w:val="001074C1"/>
    <w:rsid w:val="001074ED"/>
    <w:rsid w:val="00107C17"/>
    <w:rsid w:val="00116311"/>
    <w:rsid w:val="001205FC"/>
    <w:rsid w:val="001246B3"/>
    <w:rsid w:val="001310E9"/>
    <w:rsid w:val="001320B2"/>
    <w:rsid w:val="00157294"/>
    <w:rsid w:val="0016728F"/>
    <w:rsid w:val="00171B7B"/>
    <w:rsid w:val="00172CF5"/>
    <w:rsid w:val="00173DA1"/>
    <w:rsid w:val="00177D8A"/>
    <w:rsid w:val="00177E66"/>
    <w:rsid w:val="00182F83"/>
    <w:rsid w:val="001877D1"/>
    <w:rsid w:val="00191277"/>
    <w:rsid w:val="00193125"/>
    <w:rsid w:val="001A08DE"/>
    <w:rsid w:val="001A2FC3"/>
    <w:rsid w:val="001B6708"/>
    <w:rsid w:val="001C170E"/>
    <w:rsid w:val="001C6B75"/>
    <w:rsid w:val="001D060E"/>
    <w:rsid w:val="001E497D"/>
    <w:rsid w:val="00201E86"/>
    <w:rsid w:val="002052F4"/>
    <w:rsid w:val="00207658"/>
    <w:rsid w:val="00216812"/>
    <w:rsid w:val="00232237"/>
    <w:rsid w:val="00242AF2"/>
    <w:rsid w:val="00243B81"/>
    <w:rsid w:val="002470A3"/>
    <w:rsid w:val="00250678"/>
    <w:rsid w:val="00257F09"/>
    <w:rsid w:val="002607C9"/>
    <w:rsid w:val="00263B21"/>
    <w:rsid w:val="00267FE9"/>
    <w:rsid w:val="00270F59"/>
    <w:rsid w:val="00274D22"/>
    <w:rsid w:val="0028115E"/>
    <w:rsid w:val="0029220C"/>
    <w:rsid w:val="002953C0"/>
    <w:rsid w:val="002A0B5F"/>
    <w:rsid w:val="002B1E97"/>
    <w:rsid w:val="002B5A63"/>
    <w:rsid w:val="002C3882"/>
    <w:rsid w:val="002C38B4"/>
    <w:rsid w:val="002C7784"/>
    <w:rsid w:val="002E1B11"/>
    <w:rsid w:val="002F1E1E"/>
    <w:rsid w:val="002F45DF"/>
    <w:rsid w:val="0030199D"/>
    <w:rsid w:val="00301A65"/>
    <w:rsid w:val="003038AE"/>
    <w:rsid w:val="00304312"/>
    <w:rsid w:val="00314961"/>
    <w:rsid w:val="00317554"/>
    <w:rsid w:val="0032231A"/>
    <w:rsid w:val="00335400"/>
    <w:rsid w:val="00351CD7"/>
    <w:rsid w:val="0036697F"/>
    <w:rsid w:val="00367C18"/>
    <w:rsid w:val="00370598"/>
    <w:rsid w:val="00371F30"/>
    <w:rsid w:val="00372524"/>
    <w:rsid w:val="00376134"/>
    <w:rsid w:val="00376F6C"/>
    <w:rsid w:val="003878BB"/>
    <w:rsid w:val="00391798"/>
    <w:rsid w:val="00392D94"/>
    <w:rsid w:val="00393E14"/>
    <w:rsid w:val="003A3C00"/>
    <w:rsid w:val="003A45C1"/>
    <w:rsid w:val="003A5FC0"/>
    <w:rsid w:val="003A737F"/>
    <w:rsid w:val="003B173F"/>
    <w:rsid w:val="003B3D0B"/>
    <w:rsid w:val="003C64A8"/>
    <w:rsid w:val="003C657E"/>
    <w:rsid w:val="003C6D30"/>
    <w:rsid w:val="003D32FA"/>
    <w:rsid w:val="003D5642"/>
    <w:rsid w:val="003E2681"/>
    <w:rsid w:val="00411496"/>
    <w:rsid w:val="00434BB5"/>
    <w:rsid w:val="00436059"/>
    <w:rsid w:val="00444258"/>
    <w:rsid w:val="0044519C"/>
    <w:rsid w:val="004518A3"/>
    <w:rsid w:val="0045223C"/>
    <w:rsid w:val="00452845"/>
    <w:rsid w:val="004543E7"/>
    <w:rsid w:val="00454867"/>
    <w:rsid w:val="004574FC"/>
    <w:rsid w:val="00463FDE"/>
    <w:rsid w:val="00464289"/>
    <w:rsid w:val="004702AD"/>
    <w:rsid w:val="00471EF8"/>
    <w:rsid w:val="00474D62"/>
    <w:rsid w:val="00477BF9"/>
    <w:rsid w:val="00485B10"/>
    <w:rsid w:val="00491F92"/>
    <w:rsid w:val="0049520F"/>
    <w:rsid w:val="004A0128"/>
    <w:rsid w:val="004A3CE1"/>
    <w:rsid w:val="004B4975"/>
    <w:rsid w:val="004B5AAA"/>
    <w:rsid w:val="004B6DE4"/>
    <w:rsid w:val="004D06E8"/>
    <w:rsid w:val="004D5A5D"/>
    <w:rsid w:val="00500346"/>
    <w:rsid w:val="00505709"/>
    <w:rsid w:val="005236F3"/>
    <w:rsid w:val="00523FC1"/>
    <w:rsid w:val="00530337"/>
    <w:rsid w:val="0055248B"/>
    <w:rsid w:val="00562469"/>
    <w:rsid w:val="00564F9F"/>
    <w:rsid w:val="005667E6"/>
    <w:rsid w:val="005672F1"/>
    <w:rsid w:val="00573CB5"/>
    <w:rsid w:val="00583B14"/>
    <w:rsid w:val="00585F15"/>
    <w:rsid w:val="005B0522"/>
    <w:rsid w:val="005C0104"/>
    <w:rsid w:val="005C112A"/>
    <w:rsid w:val="005C3A22"/>
    <w:rsid w:val="005D44D8"/>
    <w:rsid w:val="005D5242"/>
    <w:rsid w:val="005E570D"/>
    <w:rsid w:val="005F0982"/>
    <w:rsid w:val="00614C68"/>
    <w:rsid w:val="00615960"/>
    <w:rsid w:val="00617A1B"/>
    <w:rsid w:val="00617BE2"/>
    <w:rsid w:val="0062379B"/>
    <w:rsid w:val="00623F92"/>
    <w:rsid w:val="00626AC6"/>
    <w:rsid w:val="006425D2"/>
    <w:rsid w:val="00643707"/>
    <w:rsid w:val="00644741"/>
    <w:rsid w:val="006575EE"/>
    <w:rsid w:val="0065784C"/>
    <w:rsid w:val="006605A0"/>
    <w:rsid w:val="0066758E"/>
    <w:rsid w:val="0067166B"/>
    <w:rsid w:val="006776A7"/>
    <w:rsid w:val="00683E31"/>
    <w:rsid w:val="006956CC"/>
    <w:rsid w:val="006A4503"/>
    <w:rsid w:val="006C0A47"/>
    <w:rsid w:val="006C3629"/>
    <w:rsid w:val="006C6B75"/>
    <w:rsid w:val="006D2CF7"/>
    <w:rsid w:val="006D31DD"/>
    <w:rsid w:val="006E3C22"/>
    <w:rsid w:val="006F5A6A"/>
    <w:rsid w:val="007002C4"/>
    <w:rsid w:val="00710714"/>
    <w:rsid w:val="00716847"/>
    <w:rsid w:val="0072256E"/>
    <w:rsid w:val="007244F0"/>
    <w:rsid w:val="00736150"/>
    <w:rsid w:val="007376CA"/>
    <w:rsid w:val="00740096"/>
    <w:rsid w:val="00742D04"/>
    <w:rsid w:val="00744604"/>
    <w:rsid w:val="00745E0A"/>
    <w:rsid w:val="00756E02"/>
    <w:rsid w:val="00765D66"/>
    <w:rsid w:val="00766B04"/>
    <w:rsid w:val="00771230"/>
    <w:rsid w:val="007718EE"/>
    <w:rsid w:val="007802FA"/>
    <w:rsid w:val="007819C1"/>
    <w:rsid w:val="00793ED5"/>
    <w:rsid w:val="00797408"/>
    <w:rsid w:val="007A39BF"/>
    <w:rsid w:val="007B2C29"/>
    <w:rsid w:val="007C1347"/>
    <w:rsid w:val="007C7945"/>
    <w:rsid w:val="007D3BE3"/>
    <w:rsid w:val="007D47CF"/>
    <w:rsid w:val="007E625D"/>
    <w:rsid w:val="008162AD"/>
    <w:rsid w:val="0083013D"/>
    <w:rsid w:val="008319CA"/>
    <w:rsid w:val="00835AE2"/>
    <w:rsid w:val="00836012"/>
    <w:rsid w:val="00841E2B"/>
    <w:rsid w:val="00844CAB"/>
    <w:rsid w:val="00845CDD"/>
    <w:rsid w:val="0085094A"/>
    <w:rsid w:val="00855AD3"/>
    <w:rsid w:val="008600D2"/>
    <w:rsid w:val="00861A50"/>
    <w:rsid w:val="0087003F"/>
    <w:rsid w:val="00877B1D"/>
    <w:rsid w:val="00882B9A"/>
    <w:rsid w:val="008907C4"/>
    <w:rsid w:val="008A475F"/>
    <w:rsid w:val="008B3908"/>
    <w:rsid w:val="008C0C31"/>
    <w:rsid w:val="008C3AE3"/>
    <w:rsid w:val="008C4C0E"/>
    <w:rsid w:val="008E15E1"/>
    <w:rsid w:val="008F3B15"/>
    <w:rsid w:val="008F4239"/>
    <w:rsid w:val="00922B7C"/>
    <w:rsid w:val="00940913"/>
    <w:rsid w:val="00962520"/>
    <w:rsid w:val="00962E29"/>
    <w:rsid w:val="009729EB"/>
    <w:rsid w:val="009748A6"/>
    <w:rsid w:val="00977AB0"/>
    <w:rsid w:val="0098785C"/>
    <w:rsid w:val="00991098"/>
    <w:rsid w:val="009A5929"/>
    <w:rsid w:val="009B5975"/>
    <w:rsid w:val="009C3611"/>
    <w:rsid w:val="009C4E35"/>
    <w:rsid w:val="009C64AF"/>
    <w:rsid w:val="009D3AFB"/>
    <w:rsid w:val="009D41F1"/>
    <w:rsid w:val="009D5115"/>
    <w:rsid w:val="009D7C0E"/>
    <w:rsid w:val="009D7E36"/>
    <w:rsid w:val="009E3247"/>
    <w:rsid w:val="009E4043"/>
    <w:rsid w:val="009E6A62"/>
    <w:rsid w:val="009F0F16"/>
    <w:rsid w:val="009F27AD"/>
    <w:rsid w:val="009F77C1"/>
    <w:rsid w:val="00A03DA3"/>
    <w:rsid w:val="00A12FFF"/>
    <w:rsid w:val="00A14A5F"/>
    <w:rsid w:val="00A24334"/>
    <w:rsid w:val="00A27CDF"/>
    <w:rsid w:val="00A3487B"/>
    <w:rsid w:val="00A405EC"/>
    <w:rsid w:val="00A535BD"/>
    <w:rsid w:val="00A541DA"/>
    <w:rsid w:val="00A56129"/>
    <w:rsid w:val="00A7546D"/>
    <w:rsid w:val="00A8255D"/>
    <w:rsid w:val="00A84786"/>
    <w:rsid w:val="00AC0658"/>
    <w:rsid w:val="00AC08D1"/>
    <w:rsid w:val="00AC0A20"/>
    <w:rsid w:val="00AC3C61"/>
    <w:rsid w:val="00AE7DEB"/>
    <w:rsid w:val="00AF6FEB"/>
    <w:rsid w:val="00B241F8"/>
    <w:rsid w:val="00B34358"/>
    <w:rsid w:val="00B45582"/>
    <w:rsid w:val="00B53B77"/>
    <w:rsid w:val="00B64CC0"/>
    <w:rsid w:val="00B6757A"/>
    <w:rsid w:val="00B67CE8"/>
    <w:rsid w:val="00B67EED"/>
    <w:rsid w:val="00B72397"/>
    <w:rsid w:val="00B76031"/>
    <w:rsid w:val="00B778AA"/>
    <w:rsid w:val="00B814B8"/>
    <w:rsid w:val="00B84E87"/>
    <w:rsid w:val="00B878EF"/>
    <w:rsid w:val="00B93C14"/>
    <w:rsid w:val="00BA1A67"/>
    <w:rsid w:val="00BA2B06"/>
    <w:rsid w:val="00BA787C"/>
    <w:rsid w:val="00BB6DEC"/>
    <w:rsid w:val="00BC092E"/>
    <w:rsid w:val="00BE1912"/>
    <w:rsid w:val="00BE4FE0"/>
    <w:rsid w:val="00BE53C0"/>
    <w:rsid w:val="00BF27C5"/>
    <w:rsid w:val="00BF2E90"/>
    <w:rsid w:val="00BF658E"/>
    <w:rsid w:val="00C0302E"/>
    <w:rsid w:val="00C13B4D"/>
    <w:rsid w:val="00C1651D"/>
    <w:rsid w:val="00C17F2F"/>
    <w:rsid w:val="00C2269D"/>
    <w:rsid w:val="00C228BF"/>
    <w:rsid w:val="00C36FE1"/>
    <w:rsid w:val="00C541E3"/>
    <w:rsid w:val="00C63384"/>
    <w:rsid w:val="00C70A3B"/>
    <w:rsid w:val="00C72020"/>
    <w:rsid w:val="00C8260B"/>
    <w:rsid w:val="00C96089"/>
    <w:rsid w:val="00CB0DF7"/>
    <w:rsid w:val="00CB2F0C"/>
    <w:rsid w:val="00CB64D4"/>
    <w:rsid w:val="00CC1852"/>
    <w:rsid w:val="00CC4374"/>
    <w:rsid w:val="00CC4FA5"/>
    <w:rsid w:val="00CF2957"/>
    <w:rsid w:val="00CF2CFD"/>
    <w:rsid w:val="00D13766"/>
    <w:rsid w:val="00D20BF5"/>
    <w:rsid w:val="00D21550"/>
    <w:rsid w:val="00D24DE3"/>
    <w:rsid w:val="00D264EE"/>
    <w:rsid w:val="00D3596B"/>
    <w:rsid w:val="00D40283"/>
    <w:rsid w:val="00D43B62"/>
    <w:rsid w:val="00D56F12"/>
    <w:rsid w:val="00D60542"/>
    <w:rsid w:val="00D65CEC"/>
    <w:rsid w:val="00D7335D"/>
    <w:rsid w:val="00D74957"/>
    <w:rsid w:val="00D749E5"/>
    <w:rsid w:val="00D83B0D"/>
    <w:rsid w:val="00D90855"/>
    <w:rsid w:val="00D9457D"/>
    <w:rsid w:val="00D95CB3"/>
    <w:rsid w:val="00D96596"/>
    <w:rsid w:val="00D975D4"/>
    <w:rsid w:val="00DA17A3"/>
    <w:rsid w:val="00DB2C7C"/>
    <w:rsid w:val="00DB3854"/>
    <w:rsid w:val="00DC1747"/>
    <w:rsid w:val="00DC39DB"/>
    <w:rsid w:val="00DE390B"/>
    <w:rsid w:val="00DE5467"/>
    <w:rsid w:val="00E06C82"/>
    <w:rsid w:val="00E12328"/>
    <w:rsid w:val="00E17006"/>
    <w:rsid w:val="00E22ECD"/>
    <w:rsid w:val="00E245EC"/>
    <w:rsid w:val="00E24734"/>
    <w:rsid w:val="00E35676"/>
    <w:rsid w:val="00E4304E"/>
    <w:rsid w:val="00E57396"/>
    <w:rsid w:val="00E62981"/>
    <w:rsid w:val="00E64EDD"/>
    <w:rsid w:val="00E8026E"/>
    <w:rsid w:val="00E82C7E"/>
    <w:rsid w:val="00E916EF"/>
    <w:rsid w:val="00EA7F94"/>
    <w:rsid w:val="00EB4FBE"/>
    <w:rsid w:val="00EB68AB"/>
    <w:rsid w:val="00EC0904"/>
    <w:rsid w:val="00EC2C57"/>
    <w:rsid w:val="00ED7CBE"/>
    <w:rsid w:val="00EF6109"/>
    <w:rsid w:val="00F018FC"/>
    <w:rsid w:val="00F12AAE"/>
    <w:rsid w:val="00F15C6B"/>
    <w:rsid w:val="00F23CAC"/>
    <w:rsid w:val="00F24379"/>
    <w:rsid w:val="00F3359C"/>
    <w:rsid w:val="00F37040"/>
    <w:rsid w:val="00F410EC"/>
    <w:rsid w:val="00F438C7"/>
    <w:rsid w:val="00F44511"/>
    <w:rsid w:val="00F527E7"/>
    <w:rsid w:val="00F61E4D"/>
    <w:rsid w:val="00F7154B"/>
    <w:rsid w:val="00F71725"/>
    <w:rsid w:val="00F72670"/>
    <w:rsid w:val="00F73679"/>
    <w:rsid w:val="00F73B90"/>
    <w:rsid w:val="00F755FB"/>
    <w:rsid w:val="00F85B93"/>
    <w:rsid w:val="00F973AE"/>
    <w:rsid w:val="00F9772C"/>
    <w:rsid w:val="00FA1D0A"/>
    <w:rsid w:val="00FA2007"/>
    <w:rsid w:val="00FB11AB"/>
    <w:rsid w:val="00FC03F3"/>
    <w:rsid w:val="00FC164B"/>
    <w:rsid w:val="00FC2419"/>
    <w:rsid w:val="00FD0485"/>
    <w:rsid w:val="00FD7300"/>
    <w:rsid w:val="00FE2A9D"/>
    <w:rsid w:val="00FE3A36"/>
    <w:rsid w:val="00FF5ABC"/>
    <w:rsid w:val="00FF5E00"/>
    <w:rsid w:val="018362EB"/>
    <w:rsid w:val="02B01361"/>
    <w:rsid w:val="04CA514B"/>
    <w:rsid w:val="04F03C97"/>
    <w:rsid w:val="05074876"/>
    <w:rsid w:val="063917C3"/>
    <w:rsid w:val="06741175"/>
    <w:rsid w:val="06FD4DF7"/>
    <w:rsid w:val="07F13FAE"/>
    <w:rsid w:val="08000695"/>
    <w:rsid w:val="080014B3"/>
    <w:rsid w:val="08F330D3"/>
    <w:rsid w:val="0A7619BA"/>
    <w:rsid w:val="0B05564C"/>
    <w:rsid w:val="0C3E0F6F"/>
    <w:rsid w:val="0D9B6587"/>
    <w:rsid w:val="0DA05871"/>
    <w:rsid w:val="0F697787"/>
    <w:rsid w:val="0FFA6FF1"/>
    <w:rsid w:val="11764E4D"/>
    <w:rsid w:val="12FE1C75"/>
    <w:rsid w:val="13541190"/>
    <w:rsid w:val="13BD7D00"/>
    <w:rsid w:val="14EB1F91"/>
    <w:rsid w:val="151B7C25"/>
    <w:rsid w:val="162C08A7"/>
    <w:rsid w:val="17614581"/>
    <w:rsid w:val="180D1A9F"/>
    <w:rsid w:val="197B7B7C"/>
    <w:rsid w:val="199155F1"/>
    <w:rsid w:val="1BE91862"/>
    <w:rsid w:val="1BF43C15"/>
    <w:rsid w:val="1C055E22"/>
    <w:rsid w:val="1D104A7F"/>
    <w:rsid w:val="1D4A62CC"/>
    <w:rsid w:val="1E8373D6"/>
    <w:rsid w:val="1E844802"/>
    <w:rsid w:val="20B37242"/>
    <w:rsid w:val="20E73D48"/>
    <w:rsid w:val="23121042"/>
    <w:rsid w:val="252F60BC"/>
    <w:rsid w:val="26124F7C"/>
    <w:rsid w:val="286435B5"/>
    <w:rsid w:val="28A67820"/>
    <w:rsid w:val="299D1C14"/>
    <w:rsid w:val="2B280919"/>
    <w:rsid w:val="2B4153EB"/>
    <w:rsid w:val="2C6B3A80"/>
    <w:rsid w:val="2D8F55D6"/>
    <w:rsid w:val="2EA20FE0"/>
    <w:rsid w:val="2F1A5628"/>
    <w:rsid w:val="2FC8743B"/>
    <w:rsid w:val="30AA3BFA"/>
    <w:rsid w:val="30C715DA"/>
    <w:rsid w:val="30C90256"/>
    <w:rsid w:val="312A7DC4"/>
    <w:rsid w:val="319C2FBE"/>
    <w:rsid w:val="31C91207"/>
    <w:rsid w:val="31F2695B"/>
    <w:rsid w:val="32721408"/>
    <w:rsid w:val="359943C8"/>
    <w:rsid w:val="35D94024"/>
    <w:rsid w:val="3600792F"/>
    <w:rsid w:val="373B04F2"/>
    <w:rsid w:val="379F4F25"/>
    <w:rsid w:val="37BC6C56"/>
    <w:rsid w:val="38AF10A6"/>
    <w:rsid w:val="38C033A5"/>
    <w:rsid w:val="38D429AD"/>
    <w:rsid w:val="397D74CC"/>
    <w:rsid w:val="398268AC"/>
    <w:rsid w:val="39B5458C"/>
    <w:rsid w:val="3A8D375B"/>
    <w:rsid w:val="3BC86FE8"/>
    <w:rsid w:val="3BE9127F"/>
    <w:rsid w:val="3BEA3EED"/>
    <w:rsid w:val="3C7E15AD"/>
    <w:rsid w:val="3E37371B"/>
    <w:rsid w:val="3E5E3417"/>
    <w:rsid w:val="3E622522"/>
    <w:rsid w:val="3F0B5DBE"/>
    <w:rsid w:val="3F402B4A"/>
    <w:rsid w:val="3F6C0C0E"/>
    <w:rsid w:val="40D519B8"/>
    <w:rsid w:val="41727207"/>
    <w:rsid w:val="419D24D5"/>
    <w:rsid w:val="42D642C4"/>
    <w:rsid w:val="42E80DCE"/>
    <w:rsid w:val="43057E21"/>
    <w:rsid w:val="43EA324B"/>
    <w:rsid w:val="44F00B6E"/>
    <w:rsid w:val="474D4056"/>
    <w:rsid w:val="498D2E30"/>
    <w:rsid w:val="49B26D3A"/>
    <w:rsid w:val="49D13FAC"/>
    <w:rsid w:val="4A69261A"/>
    <w:rsid w:val="4B1F0738"/>
    <w:rsid w:val="4BC54405"/>
    <w:rsid w:val="4C8524E4"/>
    <w:rsid w:val="4C8C66A5"/>
    <w:rsid w:val="4DF16B57"/>
    <w:rsid w:val="50CA73DD"/>
    <w:rsid w:val="51450494"/>
    <w:rsid w:val="52D16F26"/>
    <w:rsid w:val="53F1045F"/>
    <w:rsid w:val="542E16B3"/>
    <w:rsid w:val="55C47F91"/>
    <w:rsid w:val="5621519C"/>
    <w:rsid w:val="56B52076"/>
    <w:rsid w:val="56BA5480"/>
    <w:rsid w:val="57BB500C"/>
    <w:rsid w:val="586545D2"/>
    <w:rsid w:val="58DC5867"/>
    <w:rsid w:val="5A350152"/>
    <w:rsid w:val="5ABF3065"/>
    <w:rsid w:val="5AD50B17"/>
    <w:rsid w:val="5B0A0784"/>
    <w:rsid w:val="5BD50871"/>
    <w:rsid w:val="5BFC5BF3"/>
    <w:rsid w:val="5C78171D"/>
    <w:rsid w:val="5C9B38C6"/>
    <w:rsid w:val="5E79177D"/>
    <w:rsid w:val="5F272A3D"/>
    <w:rsid w:val="61377DF9"/>
    <w:rsid w:val="61406582"/>
    <w:rsid w:val="61A741F0"/>
    <w:rsid w:val="624F3EEF"/>
    <w:rsid w:val="64045A8F"/>
    <w:rsid w:val="64354398"/>
    <w:rsid w:val="65432E7A"/>
    <w:rsid w:val="65FE0EE5"/>
    <w:rsid w:val="66660838"/>
    <w:rsid w:val="66B81813"/>
    <w:rsid w:val="696574CD"/>
    <w:rsid w:val="6AE35186"/>
    <w:rsid w:val="6B810CE3"/>
    <w:rsid w:val="6C4B29AA"/>
    <w:rsid w:val="6D0D5EB2"/>
    <w:rsid w:val="6D147240"/>
    <w:rsid w:val="6EC71B6C"/>
    <w:rsid w:val="6FBE0D36"/>
    <w:rsid w:val="703D6AAE"/>
    <w:rsid w:val="7084521C"/>
    <w:rsid w:val="710C022E"/>
    <w:rsid w:val="71351C2D"/>
    <w:rsid w:val="71957937"/>
    <w:rsid w:val="723A2DA8"/>
    <w:rsid w:val="727D2C3F"/>
    <w:rsid w:val="72C214EC"/>
    <w:rsid w:val="74CE23CA"/>
    <w:rsid w:val="74E5539C"/>
    <w:rsid w:val="74FD4A5E"/>
    <w:rsid w:val="78E0447A"/>
    <w:rsid w:val="78FE4C18"/>
    <w:rsid w:val="790068CB"/>
    <w:rsid w:val="7A1123C6"/>
    <w:rsid w:val="7B845591"/>
    <w:rsid w:val="7C4D62CB"/>
    <w:rsid w:val="7C6D4277"/>
    <w:rsid w:val="7CD476D8"/>
    <w:rsid w:val="7CFE1373"/>
    <w:rsid w:val="7FF2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qFormat="1"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78"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51"/>
    <w:unhideWhenUsed/>
    <w:qFormat/>
    <w:uiPriority w:val="0"/>
    <w:pPr>
      <w:keepNext/>
      <w:keepLines/>
      <w:spacing w:before="260" w:after="260" w:line="416" w:lineRule="atLeast"/>
      <w:outlineLvl w:val="2"/>
    </w:pPr>
    <w:rPr>
      <w:b/>
      <w:bCs/>
      <w:szCs w:val="32"/>
    </w:rPr>
  </w:style>
  <w:style w:type="paragraph" w:styleId="5">
    <w:name w:val="heading 4"/>
    <w:basedOn w:val="1"/>
    <w:next w:val="1"/>
    <w:link w:val="58"/>
    <w:unhideWhenUsed/>
    <w:qFormat/>
    <w:uiPriority w:val="0"/>
    <w:pPr>
      <w:keepNext/>
      <w:keepLines/>
      <w:spacing w:before="280" w:after="290" w:line="376" w:lineRule="atLeast"/>
      <w:outlineLvl w:val="3"/>
    </w:pPr>
    <w:rPr>
      <w:rFonts w:ascii="等线 Light" w:hAnsi="等线 Light" w:eastAsia="等线 Light" w:cs="Times New Roman"/>
      <w:b/>
      <w:bCs/>
      <w:sz w:val="28"/>
      <w:szCs w:val="28"/>
    </w:rPr>
  </w:style>
  <w:style w:type="paragraph" w:styleId="6">
    <w:name w:val="heading 5"/>
    <w:basedOn w:val="1"/>
    <w:next w:val="1"/>
    <w:link w:val="59"/>
    <w:unhideWhenUsed/>
    <w:qFormat/>
    <w:uiPriority w:val="9"/>
    <w:pPr>
      <w:keepNext/>
      <w:keepLines/>
      <w:spacing w:before="280" w:after="290" w:line="376" w:lineRule="atLeast"/>
      <w:outlineLvl w:val="4"/>
    </w:pPr>
    <w:rPr>
      <w:rFonts w:ascii="宋体" w:hAnsi="等线" w:cs="Arial" w:eastAsiaTheme="minorEastAsia"/>
      <w:b/>
      <w:bCs/>
      <w:sz w:val="28"/>
      <w:szCs w:val="28"/>
    </w:rPr>
  </w:style>
  <w:style w:type="paragraph" w:styleId="7">
    <w:name w:val="heading 6"/>
    <w:basedOn w:val="1"/>
    <w:next w:val="1"/>
    <w:link w:val="60"/>
    <w:semiHidden/>
    <w:unhideWhenUsed/>
    <w:qFormat/>
    <w:uiPriority w:val="9"/>
    <w:pPr>
      <w:keepNext/>
      <w:keepLines/>
      <w:spacing w:before="240" w:after="64" w:line="320" w:lineRule="atLeast"/>
      <w:outlineLvl w:val="5"/>
    </w:pPr>
    <w:rPr>
      <w:rFonts w:ascii="等线 Light" w:hAnsi="等线 Light" w:eastAsia="等线 Light" w:cs="Times New Roman"/>
      <w:b/>
      <w:bCs/>
      <w:sz w:val="28"/>
      <w:szCs w:val="24"/>
    </w:rPr>
  </w:style>
  <w:style w:type="paragraph" w:styleId="8">
    <w:name w:val="heading 7"/>
    <w:basedOn w:val="1"/>
    <w:next w:val="1"/>
    <w:link w:val="61"/>
    <w:semiHidden/>
    <w:unhideWhenUsed/>
    <w:qFormat/>
    <w:uiPriority w:val="9"/>
    <w:pPr>
      <w:keepNext/>
      <w:keepLines/>
      <w:spacing w:before="240" w:after="64" w:line="320" w:lineRule="atLeast"/>
      <w:outlineLvl w:val="6"/>
    </w:pPr>
    <w:rPr>
      <w:rFonts w:ascii="宋体" w:hAnsi="等线" w:cs="Arial" w:eastAsiaTheme="minorEastAsia"/>
      <w:b/>
      <w:bCs/>
      <w:sz w:val="28"/>
      <w:szCs w:val="24"/>
    </w:rPr>
  </w:style>
  <w:style w:type="paragraph" w:styleId="9">
    <w:name w:val="heading 8"/>
    <w:basedOn w:val="1"/>
    <w:next w:val="1"/>
    <w:link w:val="62"/>
    <w:semiHidden/>
    <w:unhideWhenUsed/>
    <w:qFormat/>
    <w:uiPriority w:val="9"/>
    <w:pPr>
      <w:keepNext/>
      <w:keepLines/>
      <w:spacing w:before="240" w:after="64" w:line="320" w:lineRule="atLeast"/>
      <w:outlineLvl w:val="7"/>
    </w:pPr>
    <w:rPr>
      <w:rFonts w:ascii="等线 Light" w:hAnsi="等线 Light" w:eastAsia="等线 Light" w:cs="Times New Roman"/>
      <w:sz w:val="28"/>
      <w:szCs w:val="24"/>
    </w:rPr>
  </w:style>
  <w:style w:type="paragraph" w:styleId="10">
    <w:name w:val="heading 9"/>
    <w:basedOn w:val="1"/>
    <w:next w:val="1"/>
    <w:link w:val="63"/>
    <w:semiHidden/>
    <w:unhideWhenUsed/>
    <w:qFormat/>
    <w:uiPriority w:val="9"/>
    <w:pPr>
      <w:keepNext/>
      <w:keepLines/>
      <w:spacing w:before="240" w:after="64" w:line="320" w:lineRule="atLeast"/>
      <w:outlineLvl w:val="8"/>
    </w:pPr>
    <w:rPr>
      <w:rFonts w:ascii="等线 Light" w:hAnsi="等线 Light" w:eastAsia="等线 Light" w:cs="Times New Roman"/>
      <w:sz w:val="28"/>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next w:val="12"/>
    <w:qFormat/>
    <w:uiPriority w:val="0"/>
    <w:pPr>
      <w:snapToGrid/>
      <w:spacing w:line="240" w:lineRule="auto"/>
      <w:ind w:firstLine="420" w:firstLineChars="0"/>
    </w:pPr>
    <w:rPr>
      <w:rFonts w:ascii="Calibri" w:hAnsi="Calibri" w:eastAsia="宋体" w:cs="Times New Roman"/>
      <w:sz w:val="21"/>
    </w:rPr>
  </w:style>
  <w:style w:type="paragraph" w:styleId="12">
    <w:name w:val="toc 4"/>
    <w:basedOn w:val="1"/>
    <w:next w:val="1"/>
    <w:unhideWhenUsed/>
    <w:qFormat/>
    <w:uiPriority w:val="0"/>
    <w:pPr>
      <w:ind w:left="1260" w:leftChars="600"/>
    </w:pPr>
  </w:style>
  <w:style w:type="paragraph" w:styleId="13">
    <w:name w:val="caption"/>
    <w:basedOn w:val="1"/>
    <w:next w:val="1"/>
    <w:link w:val="93"/>
    <w:semiHidden/>
    <w:unhideWhenUsed/>
    <w:qFormat/>
    <w:uiPriority w:val="0"/>
    <w:rPr>
      <w:rFonts w:eastAsia="仿宋" w:cs="Times New Roman" w:asciiTheme="minorHAnsi" w:hAnsiTheme="minorHAnsi"/>
      <w:b/>
      <w:color w:val="000000"/>
      <w:sz w:val="24"/>
      <w:lang w:val="zh-TW" w:eastAsia="zh-TW" w:bidi="zh-TW"/>
    </w:rPr>
  </w:style>
  <w:style w:type="paragraph" w:styleId="14">
    <w:name w:val="annotation text"/>
    <w:basedOn w:val="1"/>
    <w:link w:val="144"/>
    <w:semiHidden/>
    <w:unhideWhenUsed/>
    <w:qFormat/>
    <w:uiPriority w:val="99"/>
    <w:pPr>
      <w:jc w:val="left"/>
    </w:pPr>
  </w:style>
  <w:style w:type="paragraph" w:styleId="15">
    <w:name w:val="Body Text"/>
    <w:basedOn w:val="1"/>
    <w:link w:val="115"/>
    <w:unhideWhenUsed/>
    <w:qFormat/>
    <w:uiPriority w:val="0"/>
    <w:pPr>
      <w:spacing w:after="120"/>
    </w:pPr>
  </w:style>
  <w:style w:type="paragraph" w:styleId="16">
    <w:name w:val="Body Text Indent"/>
    <w:basedOn w:val="1"/>
    <w:link w:val="116"/>
    <w:unhideWhenUsed/>
    <w:qFormat/>
    <w:uiPriority w:val="99"/>
    <w:pPr>
      <w:spacing w:after="120"/>
      <w:ind w:left="420" w:leftChars="200"/>
    </w:pPr>
  </w:style>
  <w:style w:type="paragraph" w:styleId="17">
    <w:name w:val="Date"/>
    <w:basedOn w:val="1"/>
    <w:next w:val="1"/>
    <w:link w:val="75"/>
    <w:semiHidden/>
    <w:unhideWhenUsed/>
    <w:qFormat/>
    <w:uiPriority w:val="99"/>
    <w:pPr>
      <w:ind w:left="100" w:leftChars="2500"/>
    </w:pPr>
    <w:rPr>
      <w:rFonts w:ascii="宋体" w:hAnsi="等线" w:cs="Arial" w:eastAsiaTheme="minorEastAsia"/>
      <w:sz w:val="28"/>
    </w:rPr>
  </w:style>
  <w:style w:type="paragraph" w:styleId="18">
    <w:name w:val="Balloon Text"/>
    <w:basedOn w:val="1"/>
    <w:link w:val="118"/>
    <w:semiHidden/>
    <w:unhideWhenUsed/>
    <w:qFormat/>
    <w:uiPriority w:val="99"/>
    <w:pPr>
      <w:spacing w:line="240" w:lineRule="auto"/>
    </w:pPr>
    <w:rPr>
      <w:sz w:val="18"/>
      <w:szCs w:val="18"/>
    </w:rPr>
  </w:style>
  <w:style w:type="paragraph" w:styleId="19">
    <w:name w:val="footer"/>
    <w:basedOn w:val="1"/>
    <w:link w:val="36"/>
    <w:unhideWhenUsed/>
    <w:qFormat/>
    <w:uiPriority w:val="99"/>
    <w:pPr>
      <w:tabs>
        <w:tab w:val="center" w:pos="4153"/>
        <w:tab w:val="right" w:pos="8306"/>
      </w:tabs>
      <w:jc w:val="left"/>
    </w:pPr>
    <w:rPr>
      <w:sz w:val="18"/>
      <w:szCs w:val="18"/>
    </w:rPr>
  </w:style>
  <w:style w:type="paragraph" w:styleId="20">
    <w:name w:val="header"/>
    <w:basedOn w:val="1"/>
    <w:link w:val="35"/>
    <w:unhideWhenUsed/>
    <w:qFormat/>
    <w:uiPriority w:val="0"/>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Normal (Web)"/>
    <w:basedOn w:val="1"/>
    <w:unhideWhenUsed/>
    <w:qFormat/>
    <w:uiPriority w:val="99"/>
    <w:rPr>
      <w:rFonts w:cs="Times New Roman"/>
      <w:sz w:val="24"/>
      <w:szCs w:val="24"/>
    </w:rPr>
  </w:style>
  <w:style w:type="paragraph" w:styleId="24">
    <w:name w:val="Title"/>
    <w:basedOn w:val="1"/>
    <w:next w:val="1"/>
    <w:link w:val="84"/>
    <w:qFormat/>
    <w:uiPriority w:val="10"/>
    <w:pPr>
      <w:spacing w:before="240" w:after="60"/>
      <w:jc w:val="center"/>
      <w:outlineLvl w:val="0"/>
    </w:pPr>
    <w:rPr>
      <w:rFonts w:ascii="黑体" w:hAnsi="等线" w:eastAsia="黑体" w:cs="Arial"/>
      <w:b/>
      <w:bCs/>
      <w:kern w:val="44"/>
      <w:sz w:val="30"/>
      <w:szCs w:val="44"/>
    </w:rPr>
  </w:style>
  <w:style w:type="paragraph" w:styleId="25">
    <w:name w:val="annotation subject"/>
    <w:basedOn w:val="14"/>
    <w:next w:val="14"/>
    <w:link w:val="139"/>
    <w:semiHidden/>
    <w:unhideWhenUsed/>
    <w:qFormat/>
    <w:uiPriority w:val="99"/>
  </w:style>
  <w:style w:type="paragraph" w:styleId="26">
    <w:name w:val="Body Text First Indent"/>
    <w:basedOn w:val="15"/>
    <w:link w:val="120"/>
    <w:semiHidden/>
    <w:unhideWhenUsed/>
    <w:qFormat/>
    <w:uiPriority w:val="99"/>
    <w:pPr>
      <w:ind w:firstLine="420" w:firstLineChars="100"/>
    </w:pPr>
  </w:style>
  <w:style w:type="paragraph" w:styleId="27">
    <w:name w:val="Body Text First Indent 2"/>
    <w:basedOn w:val="16"/>
    <w:link w:val="88"/>
    <w:unhideWhenUsed/>
    <w:qFormat/>
    <w:uiPriority w:val="0"/>
    <w:pPr>
      <w:ind w:firstLine="420"/>
    </w:pPr>
    <w:rPr>
      <w:rFonts w:ascii="仿宋_GB2312" w:hAnsiTheme="minorHAnsi"/>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0"/>
    <w:rPr>
      <w:b/>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1文本主标题"/>
    <w:basedOn w:val="1"/>
    <w:next w:val="1"/>
    <w:qFormat/>
    <w:uiPriority w:val="0"/>
    <w:pPr>
      <w:snapToGrid/>
      <w:spacing w:before="100" w:beforeLines="100" w:after="100" w:afterLines="100" w:line="240" w:lineRule="auto"/>
      <w:ind w:firstLine="0" w:firstLineChars="0"/>
      <w:jc w:val="left"/>
      <w:outlineLvl w:val="0"/>
    </w:pPr>
    <w:rPr>
      <w:rFonts w:hint="eastAsia" w:ascii="宋体" w:hAnsi="宋体" w:eastAsia="仿宋" w:cs="Times New Roman"/>
      <w:b/>
      <w:kern w:val="44"/>
      <w:sz w:val="36"/>
      <w:szCs w:val="48"/>
    </w:rPr>
  </w:style>
  <w:style w:type="character" w:customStyle="1" w:styleId="35">
    <w:name w:val="页眉 字符"/>
    <w:basedOn w:val="30"/>
    <w:link w:val="20"/>
    <w:qFormat/>
    <w:uiPriority w:val="0"/>
    <w:rPr>
      <w:sz w:val="18"/>
      <w:szCs w:val="18"/>
    </w:rPr>
  </w:style>
  <w:style w:type="character" w:customStyle="1" w:styleId="36">
    <w:name w:val="页脚 字符"/>
    <w:basedOn w:val="30"/>
    <w:link w:val="19"/>
    <w:qFormat/>
    <w:uiPriority w:val="99"/>
    <w:rPr>
      <w:sz w:val="18"/>
      <w:szCs w:val="18"/>
    </w:rPr>
  </w:style>
  <w:style w:type="character" w:customStyle="1" w:styleId="37">
    <w:name w:val="标题 1 字符"/>
    <w:basedOn w:val="30"/>
    <w:link w:val="2"/>
    <w:qFormat/>
    <w:uiPriority w:val="0"/>
    <w:rPr>
      <w:b/>
      <w:bCs/>
      <w:kern w:val="44"/>
      <w:sz w:val="44"/>
      <w:szCs w:val="44"/>
    </w:rPr>
  </w:style>
  <w:style w:type="character" w:customStyle="1" w:styleId="38">
    <w:name w:val="标题 2 字符"/>
    <w:basedOn w:val="30"/>
    <w:link w:val="3"/>
    <w:qFormat/>
    <w:uiPriority w:val="0"/>
    <w:rPr>
      <w:rFonts w:asciiTheme="majorHAnsi" w:hAnsiTheme="majorHAnsi" w:eastAsiaTheme="majorEastAsia" w:cstheme="majorBidi"/>
      <w:b/>
      <w:bCs/>
      <w:sz w:val="32"/>
      <w:szCs w:val="32"/>
    </w:rPr>
  </w:style>
  <w:style w:type="paragraph" w:customStyle="1" w:styleId="39">
    <w:name w:val="主标题"/>
    <w:basedOn w:val="1"/>
    <w:next w:val="1"/>
    <w:link w:val="41"/>
    <w:qFormat/>
    <w:uiPriority w:val="0"/>
    <w:pPr>
      <w:spacing w:line="560" w:lineRule="exact"/>
      <w:ind w:firstLine="0" w:firstLineChars="0"/>
      <w:jc w:val="center"/>
    </w:pPr>
    <w:rPr>
      <w:rFonts w:eastAsia="方正小标宋简体"/>
      <w:sz w:val="44"/>
      <w:szCs w:val="44"/>
    </w:rPr>
  </w:style>
  <w:style w:type="paragraph" w:styleId="40">
    <w:name w:val="List Paragraph"/>
    <w:basedOn w:val="1"/>
    <w:link w:val="44"/>
    <w:qFormat/>
    <w:uiPriority w:val="1"/>
    <w:pPr>
      <w:ind w:firstLine="420"/>
    </w:pPr>
  </w:style>
  <w:style w:type="character" w:customStyle="1" w:styleId="41">
    <w:name w:val="主标题 字符"/>
    <w:basedOn w:val="30"/>
    <w:link w:val="39"/>
    <w:qFormat/>
    <w:uiPriority w:val="0"/>
    <w:rPr>
      <w:rFonts w:ascii="Times New Roman" w:hAnsi="Times New Roman" w:eastAsia="方正小标宋简体"/>
      <w:sz w:val="44"/>
      <w:szCs w:val="44"/>
    </w:rPr>
  </w:style>
  <w:style w:type="paragraph" w:customStyle="1" w:styleId="42">
    <w:name w:val="层级一"/>
    <w:basedOn w:val="1"/>
    <w:next w:val="1"/>
    <w:link w:val="45"/>
    <w:qFormat/>
    <w:uiPriority w:val="0"/>
    <w:pPr>
      <w:numPr>
        <w:ilvl w:val="0"/>
        <w:numId w:val="1"/>
      </w:numPr>
      <w:adjustRightInd w:val="0"/>
      <w:ind w:firstLine="0" w:firstLineChars="0"/>
      <w:outlineLvl w:val="0"/>
    </w:pPr>
    <w:rPr>
      <w:rFonts w:eastAsia="黑体"/>
    </w:rPr>
  </w:style>
  <w:style w:type="paragraph" w:customStyle="1" w:styleId="43">
    <w:name w:val="层级二"/>
    <w:basedOn w:val="1"/>
    <w:next w:val="1"/>
    <w:link w:val="47"/>
    <w:qFormat/>
    <w:uiPriority w:val="0"/>
    <w:pPr>
      <w:numPr>
        <w:ilvl w:val="1"/>
        <w:numId w:val="1"/>
      </w:numPr>
      <w:adjustRightInd w:val="0"/>
      <w:ind w:firstLine="0" w:firstLineChars="0"/>
      <w:outlineLvl w:val="1"/>
    </w:pPr>
    <w:rPr>
      <w:rFonts w:eastAsia="楷体"/>
    </w:rPr>
  </w:style>
  <w:style w:type="character" w:customStyle="1" w:styleId="44">
    <w:name w:val="列出段落 字符"/>
    <w:basedOn w:val="30"/>
    <w:link w:val="40"/>
    <w:qFormat/>
    <w:uiPriority w:val="1"/>
    <w:rPr>
      <w:rFonts w:ascii="仿宋_GB2312" w:eastAsia="仿宋_GB2312"/>
      <w:sz w:val="32"/>
    </w:rPr>
  </w:style>
  <w:style w:type="character" w:customStyle="1" w:styleId="45">
    <w:name w:val="层级一 字符"/>
    <w:basedOn w:val="44"/>
    <w:link w:val="42"/>
    <w:qFormat/>
    <w:uiPriority w:val="0"/>
    <w:rPr>
      <w:rFonts w:ascii="仿宋_GB2312" w:eastAsia="黑体" w:cstheme="minorBidi"/>
      <w:kern w:val="2"/>
      <w:sz w:val="32"/>
      <w:szCs w:val="22"/>
    </w:rPr>
  </w:style>
  <w:style w:type="paragraph" w:customStyle="1" w:styleId="46">
    <w:name w:val="层级三"/>
    <w:basedOn w:val="1"/>
    <w:next w:val="1"/>
    <w:link w:val="49"/>
    <w:qFormat/>
    <w:uiPriority w:val="0"/>
    <w:pPr>
      <w:numPr>
        <w:ilvl w:val="2"/>
        <w:numId w:val="1"/>
      </w:numPr>
      <w:adjustRightInd w:val="0"/>
      <w:ind w:firstLine="0" w:firstLineChars="0"/>
      <w:outlineLvl w:val="2"/>
    </w:pPr>
  </w:style>
  <w:style w:type="character" w:customStyle="1" w:styleId="47">
    <w:name w:val="层级二 字符"/>
    <w:basedOn w:val="44"/>
    <w:link w:val="43"/>
    <w:qFormat/>
    <w:uiPriority w:val="0"/>
    <w:rPr>
      <w:rFonts w:ascii="仿宋_GB2312" w:eastAsia="楷体" w:cstheme="minorBidi"/>
      <w:kern w:val="2"/>
      <w:sz w:val="32"/>
      <w:szCs w:val="22"/>
    </w:rPr>
  </w:style>
  <w:style w:type="paragraph" w:customStyle="1" w:styleId="48">
    <w:name w:val="层级四"/>
    <w:basedOn w:val="1"/>
    <w:next w:val="1"/>
    <w:link w:val="50"/>
    <w:qFormat/>
    <w:uiPriority w:val="0"/>
    <w:pPr>
      <w:numPr>
        <w:ilvl w:val="3"/>
        <w:numId w:val="1"/>
      </w:numPr>
      <w:adjustRightInd w:val="0"/>
      <w:ind w:firstLine="0" w:firstLineChars="0"/>
    </w:pPr>
  </w:style>
  <w:style w:type="character" w:customStyle="1" w:styleId="49">
    <w:name w:val="层级三 字符"/>
    <w:basedOn w:val="44"/>
    <w:link w:val="46"/>
    <w:qFormat/>
    <w:uiPriority w:val="0"/>
    <w:rPr>
      <w:rFonts w:ascii="仿宋_GB2312" w:eastAsia="仿宋_GB2312" w:cstheme="minorBidi"/>
      <w:kern w:val="2"/>
      <w:sz w:val="32"/>
      <w:szCs w:val="22"/>
    </w:rPr>
  </w:style>
  <w:style w:type="character" w:customStyle="1" w:styleId="50">
    <w:name w:val="层级四 字符"/>
    <w:basedOn w:val="44"/>
    <w:link w:val="48"/>
    <w:qFormat/>
    <w:uiPriority w:val="0"/>
    <w:rPr>
      <w:rFonts w:ascii="仿宋_GB2312" w:eastAsia="仿宋_GB2312" w:cstheme="minorBidi"/>
      <w:kern w:val="2"/>
      <w:sz w:val="32"/>
      <w:szCs w:val="22"/>
    </w:rPr>
  </w:style>
  <w:style w:type="character" w:customStyle="1" w:styleId="51">
    <w:name w:val="标题 3 字符"/>
    <w:basedOn w:val="30"/>
    <w:link w:val="4"/>
    <w:qFormat/>
    <w:uiPriority w:val="0"/>
    <w:rPr>
      <w:rFonts w:ascii="Times New Roman" w:hAnsi="Times New Roman" w:eastAsia="仿宋_GB2312"/>
      <w:b/>
      <w:bCs/>
      <w:sz w:val="32"/>
      <w:szCs w:val="32"/>
    </w:rPr>
  </w:style>
  <w:style w:type="paragraph" w:customStyle="1" w:styleId="52">
    <w:name w:val="标题 41"/>
    <w:basedOn w:val="1"/>
    <w:next w:val="1"/>
    <w:unhideWhenUsed/>
    <w:uiPriority w:val="9"/>
    <w:pPr>
      <w:keepNext/>
      <w:keepLines/>
      <w:adjustRightInd w:val="0"/>
      <w:spacing w:before="280" w:after="290" w:line="376" w:lineRule="auto"/>
      <w:ind w:left="2320" w:hanging="420"/>
      <w:outlineLvl w:val="3"/>
    </w:pPr>
    <w:rPr>
      <w:rFonts w:ascii="等线 Light" w:hAnsi="等线 Light" w:eastAsia="等线 Light" w:cs="Times New Roman"/>
      <w:b/>
      <w:bCs/>
      <w:sz w:val="28"/>
      <w:szCs w:val="28"/>
    </w:rPr>
  </w:style>
  <w:style w:type="paragraph" w:customStyle="1" w:styleId="53">
    <w:name w:val="标题 51"/>
    <w:basedOn w:val="1"/>
    <w:next w:val="1"/>
    <w:unhideWhenUsed/>
    <w:qFormat/>
    <w:uiPriority w:val="9"/>
    <w:pPr>
      <w:keepNext/>
      <w:keepLines/>
      <w:adjustRightInd w:val="0"/>
      <w:spacing w:before="280" w:after="290" w:line="376" w:lineRule="auto"/>
      <w:ind w:left="2740" w:hanging="420"/>
      <w:outlineLvl w:val="4"/>
    </w:pPr>
    <w:rPr>
      <w:rFonts w:ascii="宋体" w:hAnsi="等线" w:eastAsia="宋体"/>
      <w:b/>
      <w:bCs/>
      <w:sz w:val="28"/>
      <w:szCs w:val="28"/>
    </w:rPr>
  </w:style>
  <w:style w:type="paragraph" w:customStyle="1" w:styleId="54">
    <w:name w:val="标题 61"/>
    <w:basedOn w:val="1"/>
    <w:next w:val="1"/>
    <w:semiHidden/>
    <w:unhideWhenUsed/>
    <w:qFormat/>
    <w:uiPriority w:val="9"/>
    <w:pPr>
      <w:keepNext/>
      <w:keepLines/>
      <w:adjustRightInd w:val="0"/>
      <w:spacing w:before="240" w:after="64" w:line="320" w:lineRule="auto"/>
      <w:ind w:left="3160" w:hanging="420"/>
      <w:outlineLvl w:val="5"/>
    </w:pPr>
    <w:rPr>
      <w:rFonts w:ascii="等线 Light" w:hAnsi="等线 Light" w:eastAsia="等线 Light" w:cs="Times New Roman"/>
      <w:b/>
      <w:bCs/>
      <w:sz w:val="28"/>
      <w:szCs w:val="24"/>
    </w:rPr>
  </w:style>
  <w:style w:type="paragraph" w:customStyle="1" w:styleId="55">
    <w:name w:val="标题 71"/>
    <w:basedOn w:val="1"/>
    <w:next w:val="1"/>
    <w:semiHidden/>
    <w:unhideWhenUsed/>
    <w:qFormat/>
    <w:uiPriority w:val="9"/>
    <w:pPr>
      <w:keepNext/>
      <w:keepLines/>
      <w:adjustRightInd w:val="0"/>
      <w:spacing w:before="240" w:after="64" w:line="320" w:lineRule="auto"/>
      <w:ind w:left="3580" w:hanging="420"/>
      <w:outlineLvl w:val="6"/>
    </w:pPr>
    <w:rPr>
      <w:rFonts w:ascii="宋体" w:hAnsi="等线" w:eastAsia="宋体"/>
      <w:b/>
      <w:bCs/>
      <w:sz w:val="28"/>
      <w:szCs w:val="24"/>
    </w:rPr>
  </w:style>
  <w:style w:type="paragraph" w:customStyle="1" w:styleId="56">
    <w:name w:val="标题 81"/>
    <w:basedOn w:val="1"/>
    <w:next w:val="1"/>
    <w:semiHidden/>
    <w:unhideWhenUsed/>
    <w:qFormat/>
    <w:uiPriority w:val="9"/>
    <w:pPr>
      <w:keepNext/>
      <w:keepLines/>
      <w:adjustRightInd w:val="0"/>
      <w:spacing w:before="240" w:after="64" w:line="320" w:lineRule="auto"/>
      <w:ind w:left="4000" w:hanging="420"/>
      <w:outlineLvl w:val="7"/>
    </w:pPr>
    <w:rPr>
      <w:rFonts w:ascii="等线 Light" w:hAnsi="等线 Light" w:eastAsia="等线 Light" w:cs="Times New Roman"/>
      <w:sz w:val="28"/>
      <w:szCs w:val="24"/>
    </w:rPr>
  </w:style>
  <w:style w:type="paragraph" w:customStyle="1" w:styleId="57">
    <w:name w:val="标题 91"/>
    <w:basedOn w:val="1"/>
    <w:next w:val="1"/>
    <w:semiHidden/>
    <w:unhideWhenUsed/>
    <w:qFormat/>
    <w:uiPriority w:val="9"/>
    <w:pPr>
      <w:keepNext/>
      <w:keepLines/>
      <w:adjustRightInd w:val="0"/>
      <w:spacing w:before="240" w:after="64" w:line="320" w:lineRule="auto"/>
      <w:ind w:left="4420" w:hanging="420"/>
      <w:outlineLvl w:val="8"/>
    </w:pPr>
    <w:rPr>
      <w:rFonts w:ascii="等线 Light" w:hAnsi="等线 Light" w:eastAsia="等线 Light" w:cs="Times New Roman"/>
      <w:sz w:val="28"/>
      <w:szCs w:val="21"/>
    </w:rPr>
  </w:style>
  <w:style w:type="character" w:customStyle="1" w:styleId="58">
    <w:name w:val="标题 4 字符"/>
    <w:basedOn w:val="30"/>
    <w:link w:val="5"/>
    <w:qFormat/>
    <w:uiPriority w:val="0"/>
    <w:rPr>
      <w:rFonts w:ascii="等线 Light" w:hAnsi="等线 Light" w:eastAsia="等线 Light" w:cs="Times New Roman"/>
      <w:b/>
      <w:bCs/>
      <w:kern w:val="2"/>
      <w:sz w:val="28"/>
      <w:szCs w:val="28"/>
    </w:rPr>
  </w:style>
  <w:style w:type="character" w:customStyle="1" w:styleId="59">
    <w:name w:val="标题 5 字符"/>
    <w:basedOn w:val="30"/>
    <w:link w:val="6"/>
    <w:qFormat/>
    <w:uiPriority w:val="9"/>
    <w:rPr>
      <w:rFonts w:ascii="宋体" w:hAnsi="等线" w:cs="Arial"/>
      <w:b/>
      <w:bCs/>
      <w:kern w:val="2"/>
      <w:sz w:val="28"/>
      <w:szCs w:val="28"/>
    </w:rPr>
  </w:style>
  <w:style w:type="character" w:customStyle="1" w:styleId="60">
    <w:name w:val="标题 6 字符"/>
    <w:basedOn w:val="30"/>
    <w:link w:val="7"/>
    <w:semiHidden/>
    <w:qFormat/>
    <w:uiPriority w:val="9"/>
    <w:rPr>
      <w:rFonts w:ascii="等线 Light" w:hAnsi="等线 Light" w:eastAsia="等线 Light" w:cs="Times New Roman"/>
      <w:b/>
      <w:bCs/>
      <w:kern w:val="2"/>
      <w:sz w:val="28"/>
      <w:szCs w:val="24"/>
    </w:rPr>
  </w:style>
  <w:style w:type="character" w:customStyle="1" w:styleId="61">
    <w:name w:val="标题 7 字符"/>
    <w:basedOn w:val="30"/>
    <w:link w:val="8"/>
    <w:semiHidden/>
    <w:qFormat/>
    <w:uiPriority w:val="9"/>
    <w:rPr>
      <w:rFonts w:ascii="宋体" w:hAnsi="等线" w:cs="Arial"/>
      <w:b/>
      <w:bCs/>
      <w:kern w:val="2"/>
      <w:sz w:val="28"/>
      <w:szCs w:val="24"/>
    </w:rPr>
  </w:style>
  <w:style w:type="character" w:customStyle="1" w:styleId="62">
    <w:name w:val="标题 8 字符"/>
    <w:basedOn w:val="30"/>
    <w:link w:val="9"/>
    <w:semiHidden/>
    <w:qFormat/>
    <w:uiPriority w:val="9"/>
    <w:rPr>
      <w:rFonts w:ascii="等线 Light" w:hAnsi="等线 Light" w:eastAsia="等线 Light" w:cs="Times New Roman"/>
      <w:kern w:val="2"/>
      <w:sz w:val="28"/>
      <w:szCs w:val="24"/>
    </w:rPr>
  </w:style>
  <w:style w:type="character" w:customStyle="1" w:styleId="63">
    <w:name w:val="标题 9 字符"/>
    <w:basedOn w:val="30"/>
    <w:link w:val="10"/>
    <w:semiHidden/>
    <w:qFormat/>
    <w:uiPriority w:val="9"/>
    <w:rPr>
      <w:rFonts w:ascii="等线 Light" w:hAnsi="等线 Light" w:eastAsia="等线 Light" w:cs="Times New Roman"/>
      <w:kern w:val="2"/>
      <w:sz w:val="28"/>
      <w:szCs w:val="21"/>
    </w:rPr>
  </w:style>
  <w:style w:type="paragraph" w:customStyle="1" w:styleId="64">
    <w:name w:val="目录 71"/>
    <w:basedOn w:val="1"/>
    <w:next w:val="1"/>
    <w:unhideWhenUsed/>
    <w:uiPriority w:val="39"/>
    <w:pPr>
      <w:snapToGrid/>
      <w:spacing w:line="240" w:lineRule="auto"/>
      <w:ind w:left="2520" w:firstLine="0" w:firstLineChars="0"/>
    </w:pPr>
    <w:rPr>
      <w:rFonts w:ascii="等线" w:hAnsi="等线" w:eastAsia="等线"/>
      <w:sz w:val="21"/>
    </w:rPr>
  </w:style>
  <w:style w:type="paragraph" w:customStyle="1" w:styleId="65">
    <w:name w:val="目录 41"/>
    <w:basedOn w:val="1"/>
    <w:next w:val="1"/>
    <w:unhideWhenUsed/>
    <w:qFormat/>
    <w:uiPriority w:val="39"/>
    <w:pPr>
      <w:snapToGrid/>
      <w:spacing w:line="240" w:lineRule="auto"/>
      <w:ind w:left="1260" w:firstLine="0" w:firstLineChars="0"/>
    </w:pPr>
    <w:rPr>
      <w:rFonts w:ascii="等线" w:hAnsi="等线" w:eastAsia="等线"/>
      <w:sz w:val="21"/>
    </w:rPr>
  </w:style>
  <w:style w:type="paragraph" w:customStyle="1" w:styleId="66">
    <w:name w:val="题注1"/>
    <w:next w:val="1"/>
    <w:unhideWhenUsed/>
    <w:qFormat/>
    <w:uiPriority w:val="0"/>
    <w:pPr>
      <w:widowControl w:val="0"/>
      <w:jc w:val="center"/>
    </w:pPr>
    <w:rPr>
      <w:rFonts w:ascii="Times New Roman" w:hAnsi="Times New Roman" w:eastAsia="仿宋" w:cs="Times New Roman"/>
      <w:b/>
      <w:color w:val="000000"/>
      <w:sz w:val="24"/>
      <w:lang w:val="zh-TW" w:eastAsia="zh-TW" w:bidi="zh-TW"/>
    </w:rPr>
  </w:style>
  <w:style w:type="paragraph" w:customStyle="1" w:styleId="67">
    <w:name w:val="正文文本1"/>
    <w:basedOn w:val="1"/>
    <w:next w:val="15"/>
    <w:link w:val="68"/>
    <w:qFormat/>
    <w:uiPriority w:val="0"/>
    <w:pPr>
      <w:adjustRightInd w:val="0"/>
      <w:spacing w:after="120" w:line="360" w:lineRule="auto"/>
    </w:pPr>
    <w:rPr>
      <w:rFonts w:ascii="宋体" w:hAnsi="等线" w:cs="Arial" w:eastAsiaTheme="minorEastAsia"/>
      <w:sz w:val="28"/>
    </w:rPr>
  </w:style>
  <w:style w:type="character" w:customStyle="1" w:styleId="68">
    <w:name w:val="正文文本 字符"/>
    <w:basedOn w:val="30"/>
    <w:link w:val="67"/>
    <w:qFormat/>
    <w:uiPriority w:val="0"/>
    <w:rPr>
      <w:rFonts w:ascii="宋体" w:hAnsi="等线" w:cs="Arial"/>
      <w:kern w:val="2"/>
      <w:sz w:val="28"/>
      <w:szCs w:val="22"/>
    </w:rPr>
  </w:style>
  <w:style w:type="paragraph" w:customStyle="1" w:styleId="69">
    <w:name w:val="正文文本缩进1"/>
    <w:basedOn w:val="1"/>
    <w:next w:val="16"/>
    <w:link w:val="70"/>
    <w:semiHidden/>
    <w:unhideWhenUsed/>
    <w:qFormat/>
    <w:uiPriority w:val="99"/>
    <w:pPr>
      <w:adjustRightInd w:val="0"/>
      <w:spacing w:after="120" w:line="360" w:lineRule="auto"/>
      <w:ind w:left="420"/>
    </w:pPr>
    <w:rPr>
      <w:rFonts w:ascii="宋体" w:hAnsi="等线" w:cs="Arial" w:eastAsiaTheme="minorEastAsia"/>
      <w:sz w:val="28"/>
    </w:rPr>
  </w:style>
  <w:style w:type="character" w:customStyle="1" w:styleId="70">
    <w:name w:val="正文文本缩进 字符"/>
    <w:basedOn w:val="30"/>
    <w:link w:val="69"/>
    <w:qFormat/>
    <w:uiPriority w:val="99"/>
    <w:rPr>
      <w:rFonts w:ascii="宋体" w:hAnsi="等线" w:cs="Arial"/>
      <w:kern w:val="2"/>
      <w:sz w:val="28"/>
      <w:szCs w:val="22"/>
    </w:rPr>
  </w:style>
  <w:style w:type="paragraph" w:customStyle="1" w:styleId="71">
    <w:name w:val="目录 51"/>
    <w:basedOn w:val="1"/>
    <w:next w:val="1"/>
    <w:unhideWhenUsed/>
    <w:uiPriority w:val="39"/>
    <w:pPr>
      <w:snapToGrid/>
      <w:spacing w:line="240" w:lineRule="auto"/>
      <w:ind w:left="1680" w:firstLine="0" w:firstLineChars="0"/>
    </w:pPr>
    <w:rPr>
      <w:rFonts w:ascii="等线" w:hAnsi="等线" w:eastAsia="等线"/>
      <w:sz w:val="21"/>
    </w:rPr>
  </w:style>
  <w:style w:type="paragraph" w:customStyle="1" w:styleId="72">
    <w:name w:val="目录 31"/>
    <w:basedOn w:val="1"/>
    <w:next w:val="1"/>
    <w:unhideWhenUsed/>
    <w:qFormat/>
    <w:uiPriority w:val="39"/>
    <w:pPr>
      <w:adjustRightInd w:val="0"/>
      <w:spacing w:line="360" w:lineRule="auto"/>
      <w:ind w:left="840"/>
    </w:pPr>
    <w:rPr>
      <w:rFonts w:ascii="宋体" w:hAnsi="等线" w:eastAsia="宋体"/>
      <w:sz w:val="28"/>
    </w:rPr>
  </w:style>
  <w:style w:type="paragraph" w:customStyle="1" w:styleId="73">
    <w:name w:val="目录 81"/>
    <w:basedOn w:val="1"/>
    <w:next w:val="1"/>
    <w:unhideWhenUsed/>
    <w:qFormat/>
    <w:uiPriority w:val="39"/>
    <w:pPr>
      <w:snapToGrid/>
      <w:spacing w:line="240" w:lineRule="auto"/>
      <w:ind w:left="2940" w:firstLine="0" w:firstLineChars="0"/>
    </w:pPr>
    <w:rPr>
      <w:rFonts w:ascii="等线" w:hAnsi="等线" w:eastAsia="等线"/>
      <w:sz w:val="21"/>
    </w:rPr>
  </w:style>
  <w:style w:type="paragraph" w:customStyle="1" w:styleId="74">
    <w:name w:val="日期1"/>
    <w:basedOn w:val="1"/>
    <w:next w:val="1"/>
    <w:semiHidden/>
    <w:unhideWhenUsed/>
    <w:qFormat/>
    <w:uiPriority w:val="99"/>
    <w:pPr>
      <w:adjustRightInd w:val="0"/>
      <w:spacing w:line="360" w:lineRule="auto"/>
      <w:ind w:left="100" w:leftChars="2500"/>
    </w:pPr>
    <w:rPr>
      <w:rFonts w:ascii="宋体" w:hAnsi="等线" w:eastAsia="宋体"/>
      <w:sz w:val="28"/>
    </w:rPr>
  </w:style>
  <w:style w:type="character" w:customStyle="1" w:styleId="75">
    <w:name w:val="日期 字符"/>
    <w:basedOn w:val="30"/>
    <w:link w:val="17"/>
    <w:semiHidden/>
    <w:qFormat/>
    <w:uiPriority w:val="99"/>
    <w:rPr>
      <w:rFonts w:ascii="宋体" w:hAnsi="等线" w:cs="Arial"/>
      <w:kern w:val="2"/>
      <w:sz w:val="28"/>
      <w:szCs w:val="22"/>
    </w:rPr>
  </w:style>
  <w:style w:type="paragraph" w:customStyle="1" w:styleId="76">
    <w:name w:val="批注框文本1"/>
    <w:basedOn w:val="1"/>
    <w:next w:val="18"/>
    <w:link w:val="77"/>
    <w:semiHidden/>
    <w:unhideWhenUsed/>
    <w:qFormat/>
    <w:uiPriority w:val="99"/>
    <w:pPr>
      <w:adjustRightInd w:val="0"/>
      <w:spacing w:line="360" w:lineRule="auto"/>
    </w:pPr>
    <w:rPr>
      <w:rFonts w:ascii="宋体" w:hAnsi="等线" w:cs="Arial" w:eastAsiaTheme="minorEastAsia"/>
      <w:sz w:val="18"/>
      <w:szCs w:val="18"/>
    </w:rPr>
  </w:style>
  <w:style w:type="character" w:customStyle="1" w:styleId="77">
    <w:name w:val="批注框文本 字符"/>
    <w:basedOn w:val="30"/>
    <w:link w:val="76"/>
    <w:semiHidden/>
    <w:qFormat/>
    <w:uiPriority w:val="99"/>
    <w:rPr>
      <w:rFonts w:ascii="宋体" w:hAnsi="等线" w:cs="Arial"/>
      <w:kern w:val="2"/>
      <w:sz w:val="18"/>
      <w:szCs w:val="18"/>
    </w:rPr>
  </w:style>
  <w:style w:type="paragraph" w:customStyle="1" w:styleId="78">
    <w:name w:val="目录 11"/>
    <w:basedOn w:val="1"/>
    <w:next w:val="1"/>
    <w:unhideWhenUsed/>
    <w:qFormat/>
    <w:uiPriority w:val="39"/>
    <w:pPr>
      <w:adjustRightInd w:val="0"/>
      <w:spacing w:line="360" w:lineRule="auto"/>
    </w:pPr>
    <w:rPr>
      <w:rFonts w:ascii="宋体" w:hAnsi="等线" w:eastAsia="宋体"/>
      <w:sz w:val="28"/>
    </w:rPr>
  </w:style>
  <w:style w:type="paragraph" w:customStyle="1" w:styleId="79">
    <w:name w:val="目录 61"/>
    <w:basedOn w:val="1"/>
    <w:next w:val="1"/>
    <w:unhideWhenUsed/>
    <w:qFormat/>
    <w:uiPriority w:val="39"/>
    <w:pPr>
      <w:snapToGrid/>
      <w:spacing w:line="240" w:lineRule="auto"/>
      <w:ind w:left="2100" w:firstLine="0" w:firstLineChars="0"/>
    </w:pPr>
    <w:rPr>
      <w:rFonts w:ascii="等线" w:hAnsi="等线" w:eastAsia="等线"/>
      <w:sz w:val="21"/>
    </w:rPr>
  </w:style>
  <w:style w:type="paragraph" w:customStyle="1" w:styleId="80">
    <w:name w:val="目录 21"/>
    <w:basedOn w:val="1"/>
    <w:next w:val="1"/>
    <w:unhideWhenUsed/>
    <w:qFormat/>
    <w:uiPriority w:val="39"/>
    <w:pPr>
      <w:adjustRightInd w:val="0"/>
      <w:spacing w:line="360" w:lineRule="auto"/>
      <w:ind w:left="420"/>
    </w:pPr>
    <w:rPr>
      <w:rFonts w:ascii="宋体" w:hAnsi="等线" w:eastAsia="宋体"/>
      <w:sz w:val="28"/>
    </w:rPr>
  </w:style>
  <w:style w:type="paragraph" w:customStyle="1" w:styleId="81">
    <w:name w:val="目录 91"/>
    <w:basedOn w:val="1"/>
    <w:next w:val="1"/>
    <w:unhideWhenUsed/>
    <w:qFormat/>
    <w:uiPriority w:val="39"/>
    <w:pPr>
      <w:snapToGrid/>
      <w:spacing w:line="240" w:lineRule="auto"/>
      <w:ind w:left="3360" w:firstLine="0" w:firstLineChars="0"/>
    </w:pPr>
    <w:rPr>
      <w:rFonts w:ascii="等线" w:hAnsi="等线" w:eastAsia="等线"/>
      <w:sz w:val="21"/>
    </w:rPr>
  </w:style>
  <w:style w:type="paragraph" w:customStyle="1" w:styleId="82">
    <w:name w:val="普通(网站)1"/>
    <w:basedOn w:val="1"/>
    <w:next w:val="23"/>
    <w:qFormat/>
    <w:uiPriority w:val="99"/>
    <w:pPr>
      <w:adjustRightInd w:val="0"/>
      <w:spacing w:before="100" w:beforeAutospacing="1" w:after="100" w:afterAutospacing="1" w:line="360" w:lineRule="auto"/>
      <w:jc w:val="left"/>
    </w:pPr>
    <w:rPr>
      <w:rFonts w:ascii="宋体" w:hAnsi="等线" w:eastAsia="宋体" w:cs="Times New Roman"/>
      <w:kern w:val="0"/>
      <w:sz w:val="28"/>
    </w:rPr>
  </w:style>
  <w:style w:type="paragraph" w:customStyle="1" w:styleId="83">
    <w:name w:val="标题1"/>
    <w:basedOn w:val="2"/>
    <w:next w:val="1"/>
    <w:qFormat/>
    <w:uiPriority w:val="10"/>
    <w:pPr>
      <w:keepLines w:val="0"/>
      <w:widowControl/>
      <w:adjustRightInd w:val="0"/>
      <w:spacing w:before="0" w:after="0" w:line="360" w:lineRule="auto"/>
      <w:ind w:firstLine="0" w:firstLineChars="0"/>
      <w:jc w:val="left"/>
    </w:pPr>
    <w:rPr>
      <w:rFonts w:ascii="黑体" w:hAnsi="等线" w:eastAsia="黑体"/>
      <w:sz w:val="30"/>
    </w:rPr>
  </w:style>
  <w:style w:type="character" w:customStyle="1" w:styleId="84">
    <w:name w:val="标题 字符"/>
    <w:basedOn w:val="30"/>
    <w:link w:val="24"/>
    <w:qFormat/>
    <w:uiPriority w:val="10"/>
    <w:rPr>
      <w:rFonts w:ascii="黑体" w:hAnsi="等线" w:eastAsia="黑体" w:cs="Arial"/>
      <w:b/>
      <w:bCs/>
      <w:kern w:val="44"/>
      <w:sz w:val="30"/>
      <w:szCs w:val="44"/>
    </w:rPr>
  </w:style>
  <w:style w:type="paragraph" w:customStyle="1" w:styleId="85">
    <w:name w:val="正文首行缩进1"/>
    <w:basedOn w:val="15"/>
    <w:next w:val="26"/>
    <w:link w:val="86"/>
    <w:qFormat/>
    <w:uiPriority w:val="0"/>
    <w:pPr>
      <w:adjustRightInd w:val="0"/>
      <w:spacing w:line="360" w:lineRule="auto"/>
      <w:ind w:firstLine="420" w:firstLineChars="100"/>
    </w:pPr>
    <w:rPr>
      <w:rFonts w:ascii="宋体" w:hAnsi="等线" w:cs="Arial" w:eastAsiaTheme="minorEastAsia"/>
      <w:sz w:val="28"/>
    </w:rPr>
  </w:style>
  <w:style w:type="character" w:customStyle="1" w:styleId="86">
    <w:name w:val="正文首行缩进 字符"/>
    <w:basedOn w:val="68"/>
    <w:link w:val="85"/>
    <w:qFormat/>
    <w:uiPriority w:val="0"/>
    <w:rPr>
      <w:rFonts w:ascii="宋体" w:hAnsi="等线" w:cs="Arial"/>
      <w:kern w:val="2"/>
      <w:sz w:val="28"/>
      <w:szCs w:val="22"/>
    </w:rPr>
  </w:style>
  <w:style w:type="paragraph" w:customStyle="1" w:styleId="87">
    <w:name w:val="正文首行缩进 21"/>
    <w:basedOn w:val="16"/>
    <w:next w:val="1"/>
    <w:qFormat/>
    <w:uiPriority w:val="0"/>
    <w:pPr>
      <w:adjustRightInd w:val="0"/>
      <w:spacing w:line="360" w:lineRule="auto"/>
      <w:ind w:left="200" w:firstLine="420"/>
    </w:pPr>
    <w:rPr>
      <w:rFonts w:ascii="宋体" w:hAnsi="等线" w:eastAsia="宋体"/>
      <w:sz w:val="28"/>
    </w:rPr>
  </w:style>
  <w:style w:type="character" w:customStyle="1" w:styleId="88">
    <w:name w:val="正文首行缩进 2 字符"/>
    <w:basedOn w:val="70"/>
    <w:link w:val="27"/>
    <w:qFormat/>
    <w:uiPriority w:val="0"/>
    <w:rPr>
      <w:rFonts w:ascii="仿宋_GB2312" w:hAnsi="等线" w:eastAsia="仿宋_GB2312" w:cs="Arial"/>
      <w:kern w:val="2"/>
      <w:sz w:val="32"/>
      <w:szCs w:val="22"/>
    </w:rPr>
  </w:style>
  <w:style w:type="character" w:customStyle="1" w:styleId="89">
    <w:name w:val="超链接1"/>
    <w:basedOn w:val="30"/>
    <w:unhideWhenUsed/>
    <w:qFormat/>
    <w:uiPriority w:val="99"/>
    <w:rPr>
      <w:color w:val="0563C1"/>
      <w:u w:val="single"/>
    </w:rPr>
  </w:style>
  <w:style w:type="paragraph" w:customStyle="1" w:styleId="90">
    <w:name w:val="样式1"/>
    <w:basedOn w:val="2"/>
    <w:link w:val="92"/>
    <w:qFormat/>
    <w:uiPriority w:val="0"/>
    <w:pPr>
      <w:adjustRightInd w:val="0"/>
      <w:ind w:left="432" w:firstLine="883"/>
    </w:pPr>
    <w:rPr>
      <w:rFonts w:ascii="宋体" w:hAnsi="等线" w:eastAsia="宋体"/>
    </w:rPr>
  </w:style>
  <w:style w:type="paragraph" w:customStyle="1" w:styleId="91">
    <w:name w:val="TOC 标题1"/>
    <w:basedOn w:val="2"/>
    <w:next w:val="1"/>
    <w:unhideWhenUsed/>
    <w:qFormat/>
    <w:uiPriority w:val="39"/>
    <w:pPr>
      <w:widowControl/>
      <w:snapToGrid/>
      <w:spacing w:before="240" w:after="0" w:line="259" w:lineRule="auto"/>
      <w:ind w:firstLine="0" w:firstLineChars="0"/>
      <w:jc w:val="left"/>
      <w:outlineLvl w:val="9"/>
    </w:pPr>
    <w:rPr>
      <w:rFonts w:ascii="等线 Light" w:hAnsi="等线 Light" w:eastAsia="黑体" w:cs="Times New Roman"/>
      <w:bCs w:val="0"/>
      <w:color w:val="000000"/>
      <w:kern w:val="0"/>
      <w:sz w:val="32"/>
      <w:szCs w:val="32"/>
    </w:rPr>
  </w:style>
  <w:style w:type="character" w:customStyle="1" w:styleId="92">
    <w:name w:val="样式1 字符"/>
    <w:basedOn w:val="37"/>
    <w:link w:val="90"/>
    <w:qFormat/>
    <w:uiPriority w:val="0"/>
    <w:rPr>
      <w:rFonts w:ascii="宋体" w:hAnsi="等线" w:eastAsia="宋体"/>
      <w:kern w:val="44"/>
      <w:sz w:val="44"/>
      <w:szCs w:val="44"/>
    </w:rPr>
  </w:style>
  <w:style w:type="character" w:customStyle="1" w:styleId="93">
    <w:name w:val="题注 字符"/>
    <w:link w:val="13"/>
    <w:qFormat/>
    <w:locked/>
    <w:uiPriority w:val="0"/>
    <w:rPr>
      <w:rFonts w:eastAsia="仿宋" w:cs="Times New Roman"/>
      <w:b/>
      <w:color w:val="000000"/>
      <w:sz w:val="24"/>
      <w:lang w:val="zh-TW" w:eastAsia="zh-TW" w:bidi="zh-TW"/>
    </w:rPr>
  </w:style>
  <w:style w:type="paragraph" w:customStyle="1" w:styleId="94">
    <w:name w:val="表格"/>
    <w:link w:val="95"/>
    <w:qFormat/>
    <w:uiPriority w:val="0"/>
    <w:pPr>
      <w:widowControl w:val="0"/>
      <w:spacing w:line="360" w:lineRule="auto"/>
      <w:jc w:val="center"/>
    </w:pPr>
    <w:rPr>
      <w:rFonts w:ascii="Times New Roman" w:hAnsi="Times New Roman" w:eastAsia="仿宋" w:cs="Microsoft JhengHei Light"/>
      <w:color w:val="000000"/>
      <w:sz w:val="21"/>
      <w:szCs w:val="24"/>
      <w:lang w:val="zh-TW" w:eastAsia="zh-TW" w:bidi="zh-TW"/>
    </w:rPr>
  </w:style>
  <w:style w:type="character" w:customStyle="1" w:styleId="95">
    <w:name w:val="表格 字符"/>
    <w:basedOn w:val="30"/>
    <w:link w:val="94"/>
    <w:qFormat/>
    <w:uiPriority w:val="0"/>
    <w:rPr>
      <w:rFonts w:ascii="Times New Roman" w:hAnsi="Times New Roman" w:eastAsia="仿宋" w:cs="Microsoft JhengHei Light"/>
      <w:color w:val="000000"/>
      <w:kern w:val="0"/>
      <w:szCs w:val="24"/>
      <w:lang w:val="zh-TW" w:eastAsia="zh-TW" w:bidi="zh-TW"/>
    </w:rPr>
  </w:style>
  <w:style w:type="character" w:customStyle="1" w:styleId="96">
    <w:name w:val="表格 Char"/>
    <w:qFormat/>
    <w:locked/>
    <w:uiPriority w:val="0"/>
    <w:rPr>
      <w:rFonts w:ascii="Times New Roman" w:hAnsi="Times New Roman"/>
      <w:sz w:val="21"/>
    </w:rPr>
  </w:style>
  <w:style w:type="paragraph" w:customStyle="1" w:styleId="97">
    <w:name w:val="表文字"/>
    <w:basedOn w:val="1"/>
    <w:link w:val="98"/>
    <w:qFormat/>
    <w:uiPriority w:val="0"/>
    <w:pPr>
      <w:snapToGrid/>
      <w:spacing w:line="480" w:lineRule="exact"/>
      <w:ind w:firstLine="0" w:firstLineChars="0"/>
      <w:jc w:val="center"/>
    </w:pPr>
    <w:rPr>
      <w:rFonts w:ascii="宋体" w:hAnsi="宋体" w:eastAsia="仿宋"/>
      <w:color w:val="000000"/>
      <w:sz w:val="28"/>
      <w:szCs w:val="21"/>
    </w:rPr>
  </w:style>
  <w:style w:type="character" w:customStyle="1" w:styleId="98">
    <w:name w:val="表文字 Char"/>
    <w:basedOn w:val="30"/>
    <w:link w:val="97"/>
    <w:qFormat/>
    <w:uiPriority w:val="0"/>
    <w:rPr>
      <w:rFonts w:ascii="宋体" w:hAnsi="宋体" w:eastAsia="仿宋"/>
      <w:color w:val="000000"/>
      <w:sz w:val="28"/>
      <w:szCs w:val="21"/>
    </w:rPr>
  </w:style>
  <w:style w:type="paragraph" w:customStyle="1" w:styleId="99">
    <w:name w:val="表题注"/>
    <w:basedOn w:val="13"/>
    <w:link w:val="100"/>
    <w:qFormat/>
    <w:uiPriority w:val="0"/>
  </w:style>
  <w:style w:type="character" w:customStyle="1" w:styleId="100">
    <w:name w:val="表题注 字符"/>
    <w:basedOn w:val="30"/>
    <w:link w:val="99"/>
    <w:qFormat/>
    <w:locked/>
    <w:uiPriority w:val="0"/>
    <w:rPr>
      <w:rFonts w:eastAsia="仿宋" w:cs="Times New Roman"/>
      <w:b/>
      <w:color w:val="000000"/>
      <w:sz w:val="24"/>
      <w:lang w:val="zh-TW" w:eastAsia="zh-TW" w:bidi="zh-TW"/>
    </w:rPr>
  </w:style>
  <w:style w:type="character" w:customStyle="1" w:styleId="101">
    <w:name w:val="题注 字符2"/>
    <w:locked/>
    <w:uiPriority w:val="0"/>
    <w:rPr>
      <w:rFonts w:ascii="Times New Roman" w:hAnsi="Times New Roman"/>
      <w:b/>
      <w:kern w:val="2"/>
      <w:sz w:val="21"/>
    </w:rPr>
  </w:style>
  <w:style w:type="paragraph" w:customStyle="1" w:styleId="102">
    <w:name w:val="无间隔1"/>
    <w:next w:val="103"/>
    <w:link w:val="104"/>
    <w:qFormat/>
    <w:uiPriority w:val="1"/>
    <w:rPr>
      <w:rFonts w:asciiTheme="minorHAnsi" w:hAnsiTheme="minorHAnsi" w:eastAsiaTheme="minorEastAsia" w:cstheme="minorBidi"/>
      <w:sz w:val="22"/>
      <w:szCs w:val="22"/>
      <w:lang w:val="en-US" w:eastAsia="zh-CN" w:bidi="ar-SA"/>
    </w:rPr>
  </w:style>
  <w:style w:type="paragraph" w:styleId="103">
    <w:name w:val="No Spacing"/>
    <w:qFormat/>
    <w:uiPriority w:val="1"/>
    <w:pPr>
      <w:widowControl w:val="0"/>
      <w:snapToGrid w:val="0"/>
      <w:ind w:firstLine="200" w:firstLineChars="200"/>
      <w:jc w:val="both"/>
    </w:pPr>
    <w:rPr>
      <w:rFonts w:ascii="Times New Roman" w:hAnsi="Times New Roman" w:eastAsia="仿宋_GB2312" w:cstheme="minorBidi"/>
      <w:kern w:val="2"/>
      <w:sz w:val="32"/>
      <w:szCs w:val="22"/>
      <w:lang w:val="en-US" w:eastAsia="zh-CN" w:bidi="ar-SA"/>
    </w:rPr>
  </w:style>
  <w:style w:type="character" w:customStyle="1" w:styleId="104">
    <w:name w:val="无间隔 字符"/>
    <w:basedOn w:val="30"/>
    <w:link w:val="102"/>
    <w:qFormat/>
    <w:uiPriority w:val="1"/>
    <w:rPr>
      <w:rFonts w:ascii="等线" w:hAnsi="等线" w:eastAsia="等线" w:cs="Arial"/>
      <w:sz w:val="22"/>
      <w:szCs w:val="22"/>
    </w:rPr>
  </w:style>
  <w:style w:type="character" w:customStyle="1" w:styleId="105">
    <w:name w:val="font41"/>
    <w:basedOn w:val="30"/>
    <w:qFormat/>
    <w:uiPriority w:val="0"/>
    <w:rPr>
      <w:rFonts w:hint="eastAsia" w:ascii="微软雅黑" w:hAnsi="微软雅黑" w:eastAsia="微软雅黑" w:cs="微软雅黑"/>
      <w:color w:val="FF0000"/>
      <w:sz w:val="22"/>
      <w:szCs w:val="22"/>
      <w:u w:val="none"/>
    </w:rPr>
  </w:style>
  <w:style w:type="character" w:customStyle="1" w:styleId="106">
    <w:name w:val="font51"/>
    <w:basedOn w:val="30"/>
    <w:qFormat/>
    <w:uiPriority w:val="0"/>
    <w:rPr>
      <w:rFonts w:hint="eastAsia" w:ascii="微软雅黑" w:hAnsi="微软雅黑" w:eastAsia="微软雅黑" w:cs="微软雅黑"/>
      <w:color w:val="000000"/>
      <w:sz w:val="22"/>
      <w:szCs w:val="22"/>
      <w:u w:val="none"/>
    </w:rPr>
  </w:style>
  <w:style w:type="character" w:customStyle="1" w:styleId="107">
    <w:name w:val="font61"/>
    <w:basedOn w:val="30"/>
    <w:qFormat/>
    <w:uiPriority w:val="0"/>
    <w:rPr>
      <w:rFonts w:hint="eastAsia" w:ascii="微软雅黑" w:hAnsi="微软雅黑" w:eastAsia="微软雅黑" w:cs="微软雅黑"/>
      <w:color w:val="FF0000"/>
      <w:sz w:val="22"/>
      <w:szCs w:val="22"/>
      <w:u w:val="none"/>
    </w:rPr>
  </w:style>
  <w:style w:type="paragraph" w:customStyle="1" w:styleId="108">
    <w:name w:val="表格文字"/>
    <w:basedOn w:val="40"/>
    <w:qFormat/>
    <w:uiPriority w:val="0"/>
    <w:pPr>
      <w:widowControl/>
      <w:adjustRightInd w:val="0"/>
      <w:spacing w:line="360" w:lineRule="auto"/>
      <w:ind w:firstLine="0" w:firstLineChars="0"/>
      <w:jc w:val="left"/>
    </w:pPr>
    <w:rPr>
      <w:rFonts w:ascii="华文仿宋" w:hAnsi="华文仿宋" w:eastAsia="华文仿宋" w:cs="宋体"/>
      <w:color w:val="000000"/>
      <w:kern w:val="0"/>
      <w:sz w:val="16"/>
      <w:szCs w:val="28"/>
    </w:rPr>
  </w:style>
  <w:style w:type="character" w:customStyle="1" w:styleId="109">
    <w:name w:val="标题 4 字符1"/>
    <w:basedOn w:val="30"/>
    <w:semiHidden/>
    <w:qFormat/>
    <w:uiPriority w:val="9"/>
    <w:rPr>
      <w:rFonts w:asciiTheme="majorHAnsi" w:hAnsiTheme="majorHAnsi" w:eastAsiaTheme="majorEastAsia" w:cstheme="majorBidi"/>
      <w:b/>
      <w:bCs/>
      <w:sz w:val="28"/>
      <w:szCs w:val="28"/>
    </w:rPr>
  </w:style>
  <w:style w:type="character" w:customStyle="1" w:styleId="110">
    <w:name w:val="标题 5 字符1"/>
    <w:basedOn w:val="30"/>
    <w:semiHidden/>
    <w:qFormat/>
    <w:uiPriority w:val="9"/>
    <w:rPr>
      <w:rFonts w:ascii="Times New Roman" w:hAnsi="Times New Roman" w:eastAsia="仿宋_GB2312"/>
      <w:b/>
      <w:bCs/>
      <w:sz w:val="28"/>
      <w:szCs w:val="28"/>
    </w:rPr>
  </w:style>
  <w:style w:type="character" w:customStyle="1" w:styleId="111">
    <w:name w:val="标题 6 字符1"/>
    <w:basedOn w:val="30"/>
    <w:semiHidden/>
    <w:qFormat/>
    <w:uiPriority w:val="9"/>
    <w:rPr>
      <w:rFonts w:asciiTheme="majorHAnsi" w:hAnsiTheme="majorHAnsi" w:eastAsiaTheme="majorEastAsia" w:cstheme="majorBidi"/>
      <w:b/>
      <w:bCs/>
      <w:sz w:val="24"/>
      <w:szCs w:val="24"/>
    </w:rPr>
  </w:style>
  <w:style w:type="character" w:customStyle="1" w:styleId="112">
    <w:name w:val="标题 7 字符1"/>
    <w:basedOn w:val="30"/>
    <w:semiHidden/>
    <w:qFormat/>
    <w:uiPriority w:val="9"/>
    <w:rPr>
      <w:rFonts w:ascii="Times New Roman" w:hAnsi="Times New Roman" w:eastAsia="仿宋_GB2312"/>
      <w:b/>
      <w:bCs/>
      <w:sz w:val="24"/>
      <w:szCs w:val="24"/>
    </w:rPr>
  </w:style>
  <w:style w:type="character" w:customStyle="1" w:styleId="113">
    <w:name w:val="标题 8 字符1"/>
    <w:basedOn w:val="30"/>
    <w:semiHidden/>
    <w:qFormat/>
    <w:uiPriority w:val="9"/>
    <w:rPr>
      <w:rFonts w:asciiTheme="majorHAnsi" w:hAnsiTheme="majorHAnsi" w:eastAsiaTheme="majorEastAsia" w:cstheme="majorBidi"/>
      <w:sz w:val="24"/>
      <w:szCs w:val="24"/>
    </w:rPr>
  </w:style>
  <w:style w:type="character" w:customStyle="1" w:styleId="114">
    <w:name w:val="标题 9 字符1"/>
    <w:basedOn w:val="30"/>
    <w:semiHidden/>
    <w:qFormat/>
    <w:uiPriority w:val="9"/>
    <w:rPr>
      <w:rFonts w:asciiTheme="majorHAnsi" w:hAnsiTheme="majorHAnsi" w:eastAsiaTheme="majorEastAsia" w:cstheme="majorBidi"/>
      <w:szCs w:val="21"/>
    </w:rPr>
  </w:style>
  <w:style w:type="character" w:customStyle="1" w:styleId="115">
    <w:name w:val="正文文本 字符1"/>
    <w:basedOn w:val="30"/>
    <w:link w:val="15"/>
    <w:qFormat/>
    <w:uiPriority w:val="0"/>
    <w:rPr>
      <w:rFonts w:ascii="Times New Roman" w:hAnsi="Times New Roman" w:eastAsia="仿宋_GB2312"/>
      <w:sz w:val="32"/>
    </w:rPr>
  </w:style>
  <w:style w:type="character" w:customStyle="1" w:styleId="116">
    <w:name w:val="正文文本缩进 字符1"/>
    <w:basedOn w:val="30"/>
    <w:link w:val="16"/>
    <w:qFormat/>
    <w:uiPriority w:val="99"/>
    <w:rPr>
      <w:rFonts w:ascii="Times New Roman" w:hAnsi="Times New Roman" w:eastAsia="仿宋_GB2312"/>
      <w:sz w:val="32"/>
    </w:rPr>
  </w:style>
  <w:style w:type="character" w:customStyle="1" w:styleId="117">
    <w:name w:val="日期 字符1"/>
    <w:basedOn w:val="30"/>
    <w:semiHidden/>
    <w:qFormat/>
    <w:uiPriority w:val="99"/>
    <w:rPr>
      <w:rFonts w:ascii="Times New Roman" w:hAnsi="Times New Roman" w:eastAsia="仿宋_GB2312"/>
      <w:sz w:val="32"/>
    </w:rPr>
  </w:style>
  <w:style w:type="character" w:customStyle="1" w:styleId="118">
    <w:name w:val="批注框文本 字符1"/>
    <w:basedOn w:val="30"/>
    <w:link w:val="18"/>
    <w:semiHidden/>
    <w:qFormat/>
    <w:uiPriority w:val="99"/>
    <w:rPr>
      <w:rFonts w:ascii="Times New Roman" w:hAnsi="Times New Roman" w:eastAsia="仿宋_GB2312"/>
      <w:sz w:val="18"/>
      <w:szCs w:val="18"/>
    </w:rPr>
  </w:style>
  <w:style w:type="character" w:customStyle="1" w:styleId="119">
    <w:name w:val="标题 字符1"/>
    <w:basedOn w:val="30"/>
    <w:qFormat/>
    <w:uiPriority w:val="10"/>
    <w:rPr>
      <w:rFonts w:asciiTheme="majorHAnsi" w:hAnsiTheme="majorHAnsi" w:eastAsiaTheme="majorEastAsia" w:cstheme="majorBidi"/>
      <w:b/>
      <w:bCs/>
      <w:sz w:val="32"/>
      <w:szCs w:val="32"/>
    </w:rPr>
  </w:style>
  <w:style w:type="character" w:customStyle="1" w:styleId="120">
    <w:name w:val="正文首行缩进 字符1"/>
    <w:basedOn w:val="115"/>
    <w:link w:val="26"/>
    <w:semiHidden/>
    <w:qFormat/>
    <w:uiPriority w:val="99"/>
    <w:rPr>
      <w:rFonts w:ascii="Times New Roman" w:hAnsi="Times New Roman" w:eastAsia="仿宋_GB2312"/>
      <w:sz w:val="32"/>
    </w:rPr>
  </w:style>
  <w:style w:type="character" w:customStyle="1" w:styleId="121">
    <w:name w:val="正文首行缩进 2 字符1"/>
    <w:basedOn w:val="116"/>
    <w:semiHidden/>
    <w:qFormat/>
    <w:uiPriority w:val="99"/>
    <w:rPr>
      <w:rFonts w:ascii="Times New Roman" w:hAnsi="Times New Roman" w:eastAsia="仿宋_GB2312"/>
      <w:sz w:val="32"/>
    </w:rPr>
  </w:style>
  <w:style w:type="paragraph" w:customStyle="1" w:styleId="122">
    <w:name w:val="目录 32"/>
    <w:basedOn w:val="1"/>
    <w:next w:val="1"/>
    <w:qFormat/>
    <w:uiPriority w:val="0"/>
    <w:pPr>
      <w:snapToGrid/>
      <w:spacing w:line="240" w:lineRule="auto"/>
      <w:ind w:left="840" w:leftChars="400" w:firstLine="0" w:firstLineChars="0"/>
    </w:pPr>
    <w:rPr>
      <w:rFonts w:ascii="Calibri" w:hAnsi="Calibri" w:eastAsia="宋体"/>
      <w:sz w:val="21"/>
      <w:szCs w:val="24"/>
    </w:rPr>
  </w:style>
  <w:style w:type="paragraph" w:customStyle="1" w:styleId="123">
    <w:name w:val="目录 12"/>
    <w:basedOn w:val="1"/>
    <w:next w:val="1"/>
    <w:qFormat/>
    <w:uiPriority w:val="0"/>
    <w:pPr>
      <w:snapToGrid/>
      <w:spacing w:line="240" w:lineRule="auto"/>
      <w:ind w:firstLine="0" w:firstLineChars="0"/>
    </w:pPr>
    <w:rPr>
      <w:rFonts w:ascii="Calibri" w:hAnsi="Calibri" w:eastAsia="宋体"/>
      <w:sz w:val="21"/>
      <w:szCs w:val="24"/>
    </w:rPr>
  </w:style>
  <w:style w:type="paragraph" w:customStyle="1" w:styleId="124">
    <w:name w:val="目录 22"/>
    <w:basedOn w:val="1"/>
    <w:next w:val="1"/>
    <w:qFormat/>
    <w:uiPriority w:val="0"/>
    <w:pPr>
      <w:snapToGrid/>
      <w:spacing w:line="240" w:lineRule="auto"/>
      <w:ind w:left="420" w:leftChars="200" w:firstLine="0" w:firstLineChars="0"/>
    </w:pPr>
    <w:rPr>
      <w:rFonts w:ascii="Calibri" w:hAnsi="Calibri" w:eastAsia="宋体"/>
      <w:sz w:val="21"/>
      <w:szCs w:val="24"/>
    </w:rPr>
  </w:style>
  <w:style w:type="table" w:customStyle="1" w:styleId="125">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6">
    <w:name w:val="Table Normal"/>
    <w:unhideWhenUsed/>
    <w:qFormat/>
    <w:uiPriority w:val="0"/>
    <w:tblPr>
      <w:tblLayout w:type="fixed"/>
      <w:tblCellMar>
        <w:top w:w="0" w:type="dxa"/>
        <w:left w:w="0" w:type="dxa"/>
        <w:bottom w:w="0" w:type="dxa"/>
        <w:right w:w="0" w:type="dxa"/>
      </w:tblCellMar>
    </w:tblPr>
  </w:style>
  <w:style w:type="paragraph" w:customStyle="1" w:styleId="127">
    <w:name w:val="目录 33"/>
    <w:basedOn w:val="1"/>
    <w:next w:val="1"/>
    <w:unhideWhenUsed/>
    <w:qFormat/>
    <w:uiPriority w:val="39"/>
    <w:pPr>
      <w:adjustRightInd w:val="0"/>
      <w:spacing w:line="560" w:lineRule="exact"/>
      <w:ind w:left="840" w:leftChars="400"/>
    </w:pPr>
  </w:style>
  <w:style w:type="table" w:customStyle="1" w:styleId="128">
    <w:name w:val="网格型2"/>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9">
    <w:name w:val="一级标题"/>
    <w:basedOn w:val="2"/>
    <w:link w:val="130"/>
    <w:qFormat/>
    <w:uiPriority w:val="0"/>
    <w:pPr>
      <w:widowControl/>
      <w:adjustRightInd w:val="0"/>
      <w:spacing w:before="200" w:after="200" w:line="560" w:lineRule="exact"/>
      <w:ind w:firstLine="329" w:firstLineChars="0"/>
    </w:pPr>
    <w:rPr>
      <w:rFonts w:ascii="仿宋" w:hAnsi="仿宋" w:eastAsia="黑体" w:cs="宋体"/>
      <w:b w:val="0"/>
      <w:sz w:val="32"/>
      <w:szCs w:val="32"/>
    </w:rPr>
  </w:style>
  <w:style w:type="character" w:customStyle="1" w:styleId="130">
    <w:name w:val="一级标题 Char"/>
    <w:basedOn w:val="30"/>
    <w:link w:val="129"/>
    <w:qFormat/>
    <w:uiPriority w:val="0"/>
    <w:rPr>
      <w:rFonts w:ascii="仿宋" w:hAnsi="仿宋" w:eastAsia="黑体" w:cs="宋体"/>
      <w:bCs/>
      <w:kern w:val="44"/>
      <w:sz w:val="32"/>
      <w:szCs w:val="32"/>
    </w:rPr>
  </w:style>
  <w:style w:type="paragraph" w:customStyle="1" w:styleId="131">
    <w:name w:val="三级标题"/>
    <w:basedOn w:val="4"/>
    <w:link w:val="132"/>
    <w:qFormat/>
    <w:uiPriority w:val="0"/>
    <w:pPr>
      <w:keepNext w:val="0"/>
      <w:widowControl/>
      <w:numPr>
        <w:ilvl w:val="2"/>
        <w:numId w:val="2"/>
      </w:numPr>
      <w:adjustRightInd w:val="0"/>
      <w:spacing w:before="0" w:after="0" w:line="560" w:lineRule="exact"/>
      <w:ind w:left="420" w:hanging="420" w:firstLineChars="0"/>
    </w:pPr>
    <w:rPr>
      <w:rFonts w:ascii="仿宋" w:hAnsi="仿宋" w:cs="宋体"/>
      <w:bCs w:val="0"/>
      <w:kern w:val="44"/>
      <w:sz w:val="24"/>
      <w:szCs w:val="24"/>
    </w:rPr>
  </w:style>
  <w:style w:type="character" w:customStyle="1" w:styleId="132">
    <w:name w:val="三级标题 Char"/>
    <w:basedOn w:val="51"/>
    <w:link w:val="131"/>
    <w:qFormat/>
    <w:uiPriority w:val="0"/>
    <w:rPr>
      <w:rFonts w:ascii="仿宋" w:hAnsi="仿宋" w:eastAsia="仿宋_GB2312" w:cs="宋体"/>
      <w:bCs w:val="0"/>
      <w:kern w:val="44"/>
      <w:sz w:val="24"/>
      <w:szCs w:val="24"/>
    </w:rPr>
  </w:style>
  <w:style w:type="paragraph" w:customStyle="1" w:styleId="133">
    <w:name w:val="四级标题"/>
    <w:basedOn w:val="6"/>
    <w:link w:val="134"/>
    <w:qFormat/>
    <w:uiPriority w:val="0"/>
    <w:pPr>
      <w:tabs>
        <w:tab w:val="left" w:pos="720"/>
      </w:tabs>
      <w:adjustRightInd w:val="0"/>
      <w:spacing w:before="0" w:after="0" w:line="560" w:lineRule="exact"/>
      <w:ind w:left="420" w:hanging="420" w:firstLineChars="0"/>
    </w:pPr>
    <w:rPr>
      <w:rFonts w:ascii="Times New Roman" w:hAnsi="Times New Roman" w:eastAsia="宋体" w:cs="Times New Roman"/>
      <w:kern w:val="44"/>
      <w:sz w:val="32"/>
    </w:rPr>
  </w:style>
  <w:style w:type="character" w:customStyle="1" w:styleId="134">
    <w:name w:val="四级标题 Char"/>
    <w:basedOn w:val="30"/>
    <w:link w:val="133"/>
    <w:qFormat/>
    <w:uiPriority w:val="0"/>
    <w:rPr>
      <w:rFonts w:ascii="Times New Roman" w:hAnsi="Times New Roman" w:eastAsia="宋体" w:cs="Times New Roman"/>
      <w:b/>
      <w:bCs/>
      <w:kern w:val="44"/>
      <w:sz w:val="32"/>
      <w:szCs w:val="28"/>
    </w:rPr>
  </w:style>
  <w:style w:type="character" w:customStyle="1" w:styleId="135">
    <w:name w:val="Unresolved Mention"/>
    <w:basedOn w:val="30"/>
    <w:semiHidden/>
    <w:unhideWhenUsed/>
    <w:qFormat/>
    <w:uiPriority w:val="99"/>
    <w:rPr>
      <w:color w:val="605E5C"/>
      <w:shd w:val="clear" w:color="auto" w:fill="E1DFDD"/>
    </w:rPr>
  </w:style>
  <w:style w:type="paragraph" w:customStyle="1" w:styleId="136">
    <w:name w:val="批注文字1"/>
    <w:basedOn w:val="1"/>
    <w:next w:val="14"/>
    <w:link w:val="137"/>
    <w:unhideWhenUsed/>
    <w:qFormat/>
    <w:uiPriority w:val="99"/>
    <w:pPr>
      <w:adjustRightInd w:val="0"/>
      <w:spacing w:line="560" w:lineRule="exact"/>
      <w:jc w:val="left"/>
    </w:pPr>
  </w:style>
  <w:style w:type="character" w:customStyle="1" w:styleId="137">
    <w:name w:val="批注文字 字符"/>
    <w:basedOn w:val="30"/>
    <w:link w:val="136"/>
    <w:qFormat/>
    <w:uiPriority w:val="99"/>
    <w:rPr>
      <w:rFonts w:ascii="Times New Roman" w:hAnsi="Times New Roman" w:eastAsia="仿宋_GB2312"/>
      <w:kern w:val="2"/>
      <w:sz w:val="32"/>
      <w:szCs w:val="22"/>
    </w:rPr>
  </w:style>
  <w:style w:type="paragraph" w:customStyle="1" w:styleId="138">
    <w:name w:val="批注主题1"/>
    <w:basedOn w:val="14"/>
    <w:next w:val="14"/>
    <w:semiHidden/>
    <w:unhideWhenUsed/>
    <w:qFormat/>
    <w:uiPriority w:val="99"/>
    <w:pPr>
      <w:adjustRightInd w:val="0"/>
      <w:spacing w:line="560" w:lineRule="exact"/>
    </w:pPr>
    <w:rPr>
      <w:b/>
      <w:bCs/>
    </w:rPr>
  </w:style>
  <w:style w:type="character" w:customStyle="1" w:styleId="139">
    <w:name w:val="批注主题 字符"/>
    <w:basedOn w:val="137"/>
    <w:link w:val="25"/>
    <w:semiHidden/>
    <w:qFormat/>
    <w:uiPriority w:val="99"/>
    <w:rPr>
      <w:rFonts w:ascii="Times New Roman" w:hAnsi="Times New Roman" w:eastAsia="仿宋_GB2312"/>
      <w:kern w:val="2"/>
      <w:sz w:val="32"/>
      <w:szCs w:val="22"/>
    </w:rPr>
  </w:style>
  <w:style w:type="paragraph" w:customStyle="1" w:styleId="140">
    <w:name w:val="列出段落1"/>
    <w:basedOn w:val="1"/>
    <w:qFormat/>
    <w:uiPriority w:val="0"/>
    <w:pPr>
      <w:snapToGrid/>
      <w:spacing w:before="100" w:beforeAutospacing="1" w:after="160" w:line="560" w:lineRule="exact"/>
      <w:ind w:firstLine="420"/>
    </w:pPr>
    <w:rPr>
      <w:rFonts w:ascii="等线" w:hAnsi="等线" w:eastAsia="等线" w:cs="Times New Roman"/>
      <w:sz w:val="21"/>
      <w:szCs w:val="21"/>
    </w:rPr>
  </w:style>
  <w:style w:type="character" w:customStyle="1" w:styleId="141">
    <w:name w:val="font31"/>
    <w:basedOn w:val="30"/>
    <w:qFormat/>
    <w:uiPriority w:val="0"/>
    <w:rPr>
      <w:rFonts w:hint="eastAsia" w:ascii="宋体" w:hAnsi="宋体" w:eastAsia="宋体"/>
      <w:color w:val="000000"/>
      <w:sz w:val="18"/>
      <w:szCs w:val="18"/>
      <w:u w:val="none"/>
    </w:rPr>
  </w:style>
  <w:style w:type="character" w:customStyle="1" w:styleId="142">
    <w:name w:val="font11"/>
    <w:basedOn w:val="30"/>
    <w:qFormat/>
    <w:uiPriority w:val="0"/>
    <w:rPr>
      <w:rFonts w:hint="default" w:ascii="Times New Roman" w:hAnsi="Times New Roman" w:cs="Times New Roman"/>
      <w:color w:val="000000"/>
      <w:sz w:val="18"/>
      <w:szCs w:val="18"/>
      <w:u w:val="none"/>
    </w:rPr>
  </w:style>
  <w:style w:type="character" w:customStyle="1" w:styleId="143">
    <w:name w:val="font21"/>
    <w:basedOn w:val="30"/>
    <w:qFormat/>
    <w:uiPriority w:val="0"/>
    <w:rPr>
      <w:rFonts w:hint="eastAsia" w:ascii="仿宋" w:hAnsi="仿宋" w:eastAsia="仿宋"/>
      <w:color w:val="000000"/>
      <w:sz w:val="16"/>
      <w:szCs w:val="16"/>
      <w:u w:val="none"/>
    </w:rPr>
  </w:style>
  <w:style w:type="character" w:customStyle="1" w:styleId="144">
    <w:name w:val="批注文字 字符1"/>
    <w:basedOn w:val="30"/>
    <w:link w:val="14"/>
    <w:semiHidden/>
    <w:qFormat/>
    <w:uiPriority w:val="99"/>
    <w:rPr>
      <w:rFonts w:ascii="Times New Roman" w:hAnsi="Times New Roman" w:eastAsia="仿宋_GB2312"/>
      <w:sz w:val="32"/>
    </w:rPr>
  </w:style>
  <w:style w:type="character" w:customStyle="1" w:styleId="145">
    <w:name w:val="批注主题 字符1"/>
    <w:basedOn w:val="144"/>
    <w:semiHidden/>
    <w:qFormat/>
    <w:uiPriority w:val="99"/>
    <w:rPr>
      <w:rFonts w:ascii="Times New Roman" w:hAnsi="Times New Roman" w:eastAsia="仿宋_GB2312"/>
      <w:b/>
      <w:bCs/>
      <w:sz w:val="32"/>
    </w:rPr>
  </w:style>
  <w:style w:type="paragraph" w:customStyle="1" w:styleId="146">
    <w:name w:val="条款一"/>
    <w:basedOn w:val="1"/>
    <w:next w:val="1"/>
    <w:qFormat/>
    <w:uiPriority w:val="0"/>
    <w:pPr>
      <w:adjustRightInd w:val="0"/>
      <w:spacing w:line="360" w:lineRule="auto"/>
      <w:outlineLvl w:val="0"/>
    </w:pPr>
    <w:rPr>
      <w:rFonts w:ascii="黑体" w:hAnsi="黑体" w:eastAsia="黑体"/>
      <w:sz w:val="30"/>
    </w:rPr>
  </w:style>
  <w:style w:type="table" w:customStyle="1" w:styleId="147">
    <w:name w:val="网格型3"/>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05CCC-D1CA-4162-A937-1BE227820D02}">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1042</Words>
  <Characters>5940</Characters>
  <Lines>49</Lines>
  <Paragraphs>13</Paragraphs>
  <TotalTime>3</TotalTime>
  <ScaleCrop>false</ScaleCrop>
  <LinksUpToDate>false</LinksUpToDate>
  <CharactersWithSpaces>6969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2026-03-31T01:42:00Z</dcterms:created>
  <dc:creator>Administrator</dc:creator>
  <cp:lastModifiedBy>Administrator</cp:lastModifiedBy>
  <dcterms:modified xsi:type="dcterms:W3CDTF">2026-04-01T07:19:00Z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eyJoZGlkIjoiN2YzOGVjYmNiOTk4OTk4M2U5NzBhNjBiYmZlODg1ODMiLCJ1c2VySWQiOiIyMzk2MTYxMDIifQ==</vt:lpwstr>
  </property>
  <property fmtid="{D5CDD505-2E9C-101B-9397-08002B2CF9AE}" pid="3" name="KSOProductBuildVer">
    <vt:lpwstr>2052-11.8.2.8411</vt:lpwstr>
  </property>
  <property fmtid="{D5CDD505-2E9C-101B-9397-08002B2CF9AE}" pid="4" name="ICV">
    <vt:lpwstr>7A0A368E1B4345BF90E7E3B6512DB6AD_12</vt:lpwstr>
  </property>
</Properties>
</file>