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snapToGrid w:val="0"/>
        <w:spacing w:line="578" w:lineRule="exact"/>
        <w:ind w:left="0" w:leftChars="0" w:right="0" w:rightChars="0"/>
        <w:textAlignment w:val="auto"/>
      </w:pPr>
      <w:r>
        <w:rPr>
          <w:rFonts w:hint="eastAsia"/>
        </w:rPr>
        <w:t>卓越新城（南区）城市更新项目</w:t>
      </w:r>
    </w:p>
    <w:p>
      <w:pPr>
        <w:pStyle w:val="12"/>
        <w:keepNext w:val="0"/>
        <w:keepLines w:val="0"/>
        <w:pageBreakBefore w:val="0"/>
        <w:widowControl w:val="0"/>
        <w:kinsoku/>
        <w:wordWrap/>
        <w:overflowPunct/>
        <w:topLinePunct w:val="0"/>
        <w:autoSpaceDE/>
        <w:autoSpaceDN/>
        <w:bidi w:val="0"/>
        <w:snapToGrid w:val="0"/>
        <w:spacing w:line="578" w:lineRule="exact"/>
        <w:ind w:left="0" w:leftChars="0" w:right="0" w:rightChars="0"/>
        <w:textAlignment w:val="auto"/>
        <w:rPr>
          <w:rFonts w:hint="eastAsia"/>
        </w:rPr>
      </w:pPr>
      <w:r>
        <w:rPr>
          <w:rFonts w:hint="eastAsia"/>
        </w:rPr>
        <w:t>产权归集方案</w:t>
      </w:r>
      <w:r>
        <w:rPr>
          <w:rFonts w:hint="default"/>
        </w:rPr>
        <w:t>（征求意见稿）</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根据</w:t>
      </w:r>
      <w:bookmarkStart w:id="0" w:name="OLE_LINK1"/>
      <w:r>
        <w:rPr>
          <w:rFonts w:hint="eastAsia"/>
          <w:lang w:eastAsia="zh-CN"/>
        </w:rPr>
        <w:t>党的</w:t>
      </w:r>
      <w:r>
        <w:rPr>
          <w:rFonts w:hint="eastAsia"/>
        </w:rPr>
        <w:t>二十届四中全会</w:t>
      </w:r>
      <w:bookmarkEnd w:id="0"/>
      <w:r>
        <w:rPr>
          <w:rFonts w:hint="eastAsia"/>
        </w:rPr>
        <w:t>及“十</w:t>
      </w:r>
      <w:r>
        <w:rPr>
          <w:rFonts w:hint="eastAsia"/>
          <w:lang w:eastAsia="zh-CN"/>
        </w:rPr>
        <w:t>五</w:t>
      </w:r>
      <w:r>
        <w:rPr>
          <w:rFonts w:hint="eastAsia"/>
        </w:rPr>
        <w:t>五”规划中对实施城市更新行动的要求，为完善城市功能结构，转变城市开发建设方式，加快推进海南自由贸易港发展，按照《中华人民共和国民法典》《中华人民共和国土地管理法》《中华人民共和国城乡规划法》《国有土地上房屋征收与补偿条例》《国有土地上房屋征收评估办法》《三亚市棚户区改造房屋征收补偿安置暂行办法》《三亚市棚户区改造房屋征收评估管理暂行办法》</w:t>
      </w:r>
      <w:r>
        <w:t>等法律法规以及参照三亚市人民政府其他有关规定，结合三亚市天涯区卓越新城</w:t>
      </w:r>
      <w:r>
        <w:rPr>
          <w:rFonts w:hint="eastAsia"/>
        </w:rPr>
        <w:t>（南区）城市更新</w:t>
      </w:r>
      <w:r>
        <w:t>项目范围内的实际情</w:t>
      </w:r>
      <w:r>
        <w:rPr>
          <w:rFonts w:hint="eastAsia"/>
        </w:rPr>
        <w:t>况，制定本方案。</w:t>
      </w:r>
    </w:p>
    <w:p>
      <w:pPr>
        <w:pStyle w:val="15"/>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归集范围及基本情况</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四至范围：东至胜利路，南至友谊路，西至南部战区海军第二医院，北至海岸名都小区。用地面积约26430.66</w:t>
      </w:r>
      <w:r>
        <w:rPr>
          <w:rFonts w:hint="eastAsia" w:ascii="Segoe UI Symbol" w:hAnsi="Segoe UI Symbol" w:eastAsia="Segoe UI Symbol" w:cs="Segoe UI Symbol"/>
        </w:rPr>
        <w:t>㎡</w:t>
      </w:r>
      <w:r>
        <w:rPr>
          <w:rFonts w:hint="eastAsia" w:cs="Segoe UI Symbol" w:hAnsiTheme="minorEastAsia"/>
        </w:rPr>
        <w:t>（39.64亩）</w:t>
      </w:r>
      <w:r>
        <w:rPr>
          <w:rFonts w:hint="eastAsia"/>
        </w:rPr>
        <w:t>，均为国有土地，主要为三亚粮储公司和面粉厂的住宅用地、商服用地、综合用地等</w:t>
      </w:r>
      <w:r>
        <w:t>。</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需拆除房屋建筑面积约</w:t>
      </w:r>
      <w:r>
        <w:t>40329</w:t>
      </w:r>
      <w:r>
        <w:rPr>
          <w:rFonts w:hint="eastAsia" w:ascii="Segoe UI Symbol" w:hAnsi="Segoe UI Symbol" w:eastAsia="Segoe UI Symbol" w:cs="Segoe UI Symbol"/>
        </w:rPr>
        <w:t>㎡</w:t>
      </w:r>
      <w:r>
        <w:rPr>
          <w:rFonts w:hint="eastAsia"/>
        </w:rPr>
        <w:t>，包括粮储公司东宏楼、办公楼、兴华楼、面粉厂宿舍楼、中青度假酒店及其他附属建筑，</w:t>
      </w:r>
      <w:r>
        <w:rPr>
          <w:rFonts w:hint="eastAsia" w:hAnsi="仿宋_GB2312" w:cs="仿宋_GB2312"/>
        </w:rPr>
        <w:t>实际面积以测量为准</w:t>
      </w:r>
      <w:r>
        <w:t>。</w:t>
      </w:r>
      <w:r>
        <w:rPr>
          <w:rFonts w:hint="eastAsia"/>
        </w:rPr>
        <w:t>具体为上述归集范围内国有土地上有土地使用权证、房屋所有权证的房屋所有权人。</w:t>
      </w:r>
    </w:p>
    <w:p>
      <w:pPr>
        <w:pStyle w:val="15"/>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指导思想</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坚持以习近平新时代中国特色社会主义思想为指导，围绕海南自由贸易港建设总体方案，加快推进城市国际化进程，完善城市基础设施，改善城市面貌和居民居住条件及生活环境，提升城市品位、价值和形象，维护被归集人合法权益，在依法归集的基础上，做到和谐拆迁。</w:t>
      </w:r>
    </w:p>
    <w:p>
      <w:pPr>
        <w:pStyle w:val="15"/>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归集主体和法律依据</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归集主体</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归集人：</w:t>
      </w:r>
      <w:r>
        <w:rPr>
          <w:rFonts w:hint="eastAsia"/>
        </w:rPr>
        <w:t>卓越新城（南区）城市更新项目实施主体</w:t>
      </w:r>
      <w:r>
        <w:t>。</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rPr>
          <w:rStyle w:val="22"/>
        </w:rPr>
        <w:t>被归集人：</w:t>
      </w:r>
      <w:r>
        <w:rPr>
          <w:rStyle w:val="22"/>
          <w:rFonts w:hint="eastAsia"/>
        </w:rPr>
        <w:t>本项目范围内国有土地上具有土地使用权证、房屋所有权证的合法产权人</w:t>
      </w:r>
      <w:r>
        <w:t>。</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监管单位：三亚市天涯区人民政府。</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法律依据</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《中华人民共和国民法典》(2021年1月1日起实施)；</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《中华人民共和国土地管理法》(2019年修订)；</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《中华人民共和国城乡规划法》(2019年修订)；</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《国有土地上房屋征收与补偿条例》(国务院令第590号)；</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《国有土地上房屋征收评估办法》(建房〔2011〕77号)；</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rPr>
          <w:rFonts w:hint="eastAsia"/>
        </w:rPr>
      </w:pPr>
      <w:r>
        <w:t>《海南自由贸易港征收征用条例》</w:t>
      </w:r>
      <w:r>
        <w:rPr>
          <w:rFonts w:hint="eastAsia"/>
        </w:rPr>
        <w:t>；</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《三亚市棚户区改造房屋征收补偿安置暂行办法》(三府 〔2015〕112号)；</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《三亚市棚户区改造房屋征收评估管理暂行办法》(三府〔2017〕322号)；</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rPr>
          <w:rFonts w:hint="eastAsia"/>
        </w:rPr>
        <w:t>《三亚市人民政府关于印发三亚市城市更新实施指导意见（试行）的通知》（三府〔</w:t>
      </w:r>
      <w:r>
        <w:t>2022〕264号）</w:t>
      </w:r>
      <w:r>
        <w:rPr>
          <w:rFonts w:hint="eastAsia"/>
        </w:rPr>
        <w:t>。</w:t>
      </w:r>
    </w:p>
    <w:p>
      <w:pPr>
        <w:pStyle w:val="15"/>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产权归集安置原则</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坚持“公开、公平、公正”依法和谐搬迁原则；</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坚持“先补偿后搬迁”原则；</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坚持“先签约先选安置房”原则；</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坚持“以人为本、让利于民”原则。</w:t>
      </w:r>
    </w:p>
    <w:p>
      <w:pPr>
        <w:pStyle w:val="15"/>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被归集房屋的认定</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房屋归集范围内权属的认定，按照房屋所有权证登记为准。</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房屋归集范围内住宅房屋、非住宅房屋的认定，按照房屋所有权证记载的用途确定。房屋所有权证没有记载用途的，按照规划部门批准的用途确定。</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被归集房屋建筑面积的认定，按照房屋所有权证记载的建筑面积确定。房屋归集范围内已按照房改政策出售的房改房、公房以及经济适用房、单位集资房等福利住房，且尚未取得房屋所有权证的和其他不能确定房屋建筑面积的，建筑面积按照有资质</w:t>
      </w:r>
      <w:r>
        <w:rPr>
          <w:rFonts w:hint="eastAsia"/>
        </w:rPr>
        <w:t>的</w:t>
      </w:r>
      <w:r>
        <w:t>测绘机构的测绘结果确定。</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未超过批准期限的临时建筑，可按批准使用的剩余期限予以适当的货币补偿；已超过批准期限的临时建筑不予补偿，应自行拆除。</w:t>
      </w:r>
    </w:p>
    <w:p>
      <w:pPr>
        <w:pStyle w:val="15"/>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产权归集安置方式</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本项目涉及国有土地住宅、非住宅房屋搬迁补偿。房屋、建筑附属物和树木、青苗等征收补偿标准，原则上执行《国有土地上房屋征收与补偿条例》（国务院令第</w:t>
      </w:r>
      <w:r>
        <w:t>590号）和参照三亚市人民政府其他有关规定，具体如下：</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住宅房屋补偿</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补偿安置方式分为产权置换、货币补偿、产权置换与货币补偿相结合三种，具体方式由被归集人自行选定。</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产权置换</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 xml:space="preserve"> 被</w:t>
      </w:r>
      <w:r>
        <w:rPr>
          <w:rFonts w:hint="eastAsia"/>
        </w:rPr>
        <w:t>归集人</w:t>
      </w:r>
      <w:r>
        <w:t>选择产权置换的，在不改变国有土地使用权取得方式的情况下，按照被</w:t>
      </w:r>
      <w:r>
        <w:rPr>
          <w:rFonts w:hint="eastAsia"/>
        </w:rPr>
        <w:t>归集</w:t>
      </w:r>
      <w:r>
        <w:t>人的房屋套内面积置换安置房套内面积并结算，置换比例如下：</w:t>
      </w:r>
    </w:p>
    <w:tbl>
      <w:tblPr>
        <w:tblStyle w:val="7"/>
        <w:tblW w:w="8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Merge w:val="restart"/>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被归集人的</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房屋结构</w:t>
            </w:r>
          </w:p>
        </w:tc>
        <w:tc>
          <w:tcPr>
            <w:tcW w:w="5670" w:type="dxa"/>
            <w:gridSpan w:val="2"/>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产权置换比例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Merge w:val="continue"/>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p>
        </w:tc>
        <w:tc>
          <w:tcPr>
            <w:tcW w:w="2835" w:type="dxa"/>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被归集人的房屋</w:t>
            </w:r>
          </w:p>
        </w:tc>
        <w:tc>
          <w:tcPr>
            <w:tcW w:w="2835" w:type="dxa"/>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置换房屋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框架结构</w:t>
            </w:r>
          </w:p>
        </w:tc>
        <w:tc>
          <w:tcPr>
            <w:tcW w:w="2835" w:type="dxa"/>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1</w:t>
            </w:r>
          </w:p>
        </w:tc>
        <w:tc>
          <w:tcPr>
            <w:tcW w:w="2835" w:type="dxa"/>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混合结构</w:t>
            </w:r>
          </w:p>
        </w:tc>
        <w:tc>
          <w:tcPr>
            <w:tcW w:w="2835" w:type="dxa"/>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1</w:t>
            </w:r>
          </w:p>
        </w:tc>
        <w:tc>
          <w:tcPr>
            <w:tcW w:w="2835" w:type="dxa"/>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砖木结构</w:t>
            </w:r>
          </w:p>
        </w:tc>
        <w:tc>
          <w:tcPr>
            <w:tcW w:w="2835" w:type="dxa"/>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1</w:t>
            </w:r>
          </w:p>
        </w:tc>
        <w:tc>
          <w:tcPr>
            <w:tcW w:w="2835" w:type="dxa"/>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简易结构</w:t>
            </w:r>
          </w:p>
        </w:tc>
        <w:tc>
          <w:tcPr>
            <w:tcW w:w="2835" w:type="dxa"/>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1</w:t>
            </w:r>
          </w:p>
        </w:tc>
        <w:tc>
          <w:tcPr>
            <w:tcW w:w="2835" w:type="dxa"/>
            <w:vAlign w:val="center"/>
          </w:tcPr>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0" w:firstLineChars="0"/>
              <w:jc w:val="center"/>
              <w:textAlignment w:val="auto"/>
              <w:rPr>
                <w:rFonts w:ascii="Times New Roman" w:hAnsi="Times New Roman" w:cs="Times New Roman"/>
                <w:bCs/>
                <w:kern w:val="0"/>
                <w:sz w:val="28"/>
                <w:szCs w:val="28"/>
              </w:rPr>
            </w:pPr>
            <w:r>
              <w:rPr>
                <w:rFonts w:ascii="Times New Roman" w:hAnsi="Times New Roman" w:cs="Times New Roman"/>
                <w:bCs/>
                <w:kern w:val="0"/>
                <w:sz w:val="28"/>
                <w:szCs w:val="28"/>
              </w:rPr>
              <w:t>0.75</w:t>
            </w:r>
          </w:p>
        </w:tc>
      </w:tr>
    </w:tbl>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被归集人选择的安置房套内面积超过被归集房屋置换后套内面积的，差额按以下方式结算：</w:t>
      </w:r>
    </w:p>
    <w:p>
      <w:pPr>
        <w:pStyle w:val="21"/>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rPr>
          <w:rFonts w:hint="eastAsia"/>
        </w:rPr>
        <w:t>优惠面积部分：对面积差额在</w:t>
      </w:r>
      <w:r>
        <w:t xml:space="preserve"> 5平方米（含）以内，或占原应置换面积 5%（含）以内的部分（以二者中较高值为准），按政府核定的建安成本价结算</w:t>
      </w:r>
      <w:r>
        <w:rPr>
          <w:rFonts w:hint="eastAsia" w:hAnsi="仿宋_GB2312" w:cs="仿宋_GB2312"/>
        </w:rPr>
        <w:t>。</w:t>
      </w:r>
    </w:p>
    <w:p>
      <w:pPr>
        <w:pStyle w:val="21"/>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rPr>
          <w:rFonts w:hint="eastAsia"/>
        </w:rPr>
        <w:t>市场价面积部分：超出上述“优惠面积”的剩余面积差额，按同期安置房的房地产市场评估价结算。</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货币补偿</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被归集房屋按上述房屋结构置换比例置换后的套内面积，按照政府房屋征收公告发布之日被归集人的房屋市场评估价或项目范围内安置区房屋的市场评估价作为货币补偿标准。</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产权置换和货币补偿相结合</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被归集人选择产权置换和货币补偿相结合的</w:t>
      </w:r>
      <w:r>
        <w:t>,货币补偿部分按被</w:t>
      </w:r>
      <w:r>
        <w:rPr>
          <w:rFonts w:hint="eastAsia"/>
        </w:rPr>
        <w:t>归集</w:t>
      </w:r>
      <w:r>
        <w:t>人的住宅房屋或安置区房屋的市场评估价值补偿，产权置换部分按第</w:t>
      </w:r>
      <w:r>
        <w:rPr>
          <w:rFonts w:hint="eastAsia"/>
        </w:rPr>
        <w:t>（一）款第</w:t>
      </w:r>
      <w:r>
        <w:t>1</w:t>
      </w:r>
      <w:r>
        <w:rPr>
          <w:rFonts w:hint="eastAsia"/>
        </w:rPr>
        <w:t>项</w:t>
      </w:r>
      <w:r>
        <w:t>规定执行。</w:t>
      </w:r>
      <w:r>
        <w:rPr>
          <w:rFonts w:hint="eastAsia"/>
        </w:rPr>
        <w:t>若实际所得安置房的套内面积少于原协议约定用于产权置换的面积，其差额部分先按照被征收房屋建筑面积与套内面积的比例换算成建筑面积，再以原协议中的补偿单价进行货币补偿；若实际取得安置房的套内面积多于原协议约定、但仍未超过被征收房屋可置换后的套内面积，则多出部分同样按上述比例折算为建筑面积，并按原协议补偿单价结算差价，由被征收人向征收方返还相应款项；若实际取得安置房的套内面积已超出被征收房屋可置换后的套内总面积，则超出的部分应依照按本节第</w:t>
      </w:r>
      <w:r>
        <w:t>1条产权置换相关规定处理。</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被</w:t>
      </w:r>
      <w:r>
        <w:rPr>
          <w:rFonts w:hint="eastAsia"/>
        </w:rPr>
        <w:t>归集</w:t>
      </w:r>
      <w:r>
        <w:t>人自行将临路（街、巷）的底层合法居住房屋改变为商业经营用房，同时符合下列三个条件的，按住宅房屋补偿标准（含产权置换、货币补偿、</w:t>
      </w:r>
      <w:r>
        <w:rPr>
          <w:rFonts w:hint="eastAsia"/>
        </w:rPr>
        <w:t>产权置换与货币补偿相结合</w:t>
      </w:r>
      <w:r>
        <w:t>）补偿以外，同时，再按照被</w:t>
      </w:r>
      <w:r>
        <w:rPr>
          <w:rFonts w:hint="eastAsia"/>
        </w:rPr>
        <w:t>归集</w:t>
      </w:r>
      <w:r>
        <w:t>人的房屋或安置区房屋市场评估价值的50%给予货币补偿：</w:t>
      </w:r>
    </w:p>
    <w:p>
      <w:pPr>
        <w:pStyle w:val="21"/>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持有房屋权属证书或土地合法来源证明；</w:t>
      </w:r>
    </w:p>
    <w:p>
      <w:pPr>
        <w:pStyle w:val="21"/>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持有营业执照并正在营业中；</w:t>
      </w:r>
    </w:p>
    <w:p>
      <w:pPr>
        <w:pStyle w:val="21"/>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被</w:t>
      </w:r>
      <w:r>
        <w:rPr>
          <w:rFonts w:hint="eastAsia"/>
        </w:rPr>
        <w:t>归集</w:t>
      </w:r>
      <w:r>
        <w:t>自改铺面3年以上(含3年)依法纳税。</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非住宅房屋补偿</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按照政府房屋征收公告发布之日被</w:t>
      </w:r>
      <w:r>
        <w:rPr>
          <w:rFonts w:hint="eastAsia"/>
        </w:rPr>
        <w:t>归集</w:t>
      </w:r>
      <w:r>
        <w:t>人的合法房屋的市场评估价值进行货币补偿。</w:t>
      </w:r>
      <w:r>
        <w:rPr>
          <w:rFonts w:hint="eastAsia"/>
        </w:rPr>
        <w:t>被归集人存在安置需求的，可按被归集房屋市场评估价和项目范围内安置房的市场评估价等价值置换住宅安置房。</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造成停产、停业，应给予补偿，补偿标准以征收公告前一年的月平均营业额的8%计算，补偿期限最长不得超过6个月（营业额以税务部门核准的纳税申报为准）。</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评估方式</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评估由具有相应资质的房地产价格评估机构依法进行。房地产价格评估机构由被归集人在规定时间内协商选定；在规定时间内协商不成的，由房屋归集监管单位通过组织被归集人按照少数服从多数的原则投票决定，或者区住房城乡建设主管部门从已备案的具有相应资质的房地产价格评估机构储备库中随机抽取；被归集人的房屋和用于产权置换房屋的价值评估时间节点为房屋征收决定公告之日。市场评估依据《国有土地上房屋征收评估办法》（建房〔</w:t>
      </w:r>
      <w:r>
        <w:t>2011〕77号）并结合《三亚市棚户区改造房屋征收评估管理暂行办法》（三府〔2017〕322号）的规定执行。</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房屋装修及地上附着物补偿</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房屋装修按照市场评估作价补偿；地上附着物、青苗参照《三亚市集体土地征收补偿安置管理规定》</w:t>
      </w:r>
      <w:r>
        <w:t>(三府〔2013〕43号）补偿或评估作价补偿</w:t>
      </w:r>
      <w:r>
        <w:rPr>
          <w:rFonts w:hint="eastAsia"/>
        </w:rPr>
        <w:t>。违法抢种的树木、青苗一律不给予补偿。</w:t>
      </w:r>
    </w:p>
    <w:p>
      <w:pPr>
        <w:pStyle w:val="15"/>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临时过渡安置费及产权归集补助</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临时过渡安置费</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firstLineChars="250"/>
        <w:textAlignment w:val="auto"/>
      </w:pPr>
      <w:r>
        <w:t>临时过渡安置由被</w:t>
      </w:r>
      <w:r>
        <w:rPr>
          <w:rFonts w:hint="eastAsia"/>
        </w:rPr>
        <w:t>归集</w:t>
      </w:r>
      <w:r>
        <w:t>人自行解决的，按照下列标准一次性发放</w:t>
      </w:r>
      <w:r>
        <w:rPr>
          <w:rFonts w:hint="eastAsia"/>
        </w:rPr>
        <w:t>两年</w:t>
      </w:r>
      <w:r>
        <w:t>（24个月）的临时过渡费给被</w:t>
      </w:r>
      <w:r>
        <w:rPr>
          <w:rFonts w:hint="eastAsia"/>
        </w:rPr>
        <w:t>归集</w:t>
      </w:r>
      <w:r>
        <w:t>人（临时过渡安置期以被</w:t>
      </w:r>
      <w:r>
        <w:rPr>
          <w:rFonts w:hint="eastAsia"/>
        </w:rPr>
        <w:t>归集</w:t>
      </w:r>
      <w:r>
        <w:t>人签订</w:t>
      </w:r>
      <w:r>
        <w:rPr>
          <w:rFonts w:hint="eastAsia"/>
        </w:rPr>
        <w:t>归集</w:t>
      </w:r>
      <w:r>
        <w:t>协议并腾空居住房屋之日起计算，临时过渡期根据安置房建设实际情况而定），</w:t>
      </w:r>
      <w:r>
        <w:rPr>
          <w:rFonts w:hint="eastAsia"/>
        </w:rPr>
        <w:t>具体如下：</w:t>
      </w:r>
    </w:p>
    <w:p>
      <w:pPr>
        <w:pStyle w:val="21"/>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选择产权置换的套内面积在200平方米以下的（含200平方米），按4000元/户/月的标准发放临时过渡安置费。</w:t>
      </w:r>
    </w:p>
    <w:p>
      <w:pPr>
        <w:pStyle w:val="21"/>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选择产权置换的套内面积在200-300平方米以内（含300平方米），按6000元/户/月的标准发放临时过渡安置费。</w:t>
      </w:r>
    </w:p>
    <w:p>
      <w:pPr>
        <w:pStyle w:val="21"/>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选择产权置换的套内面积在300-400平方米以内（含400平方米），按8000元/户/月的标准发放临时过渡安置费。</w:t>
      </w:r>
    </w:p>
    <w:p>
      <w:pPr>
        <w:pStyle w:val="21"/>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选择产权置换的套内面积在400平方米以上的，按10000元/户/月的标准发放临时过渡安置费。</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firstLineChars="250"/>
        <w:textAlignment w:val="auto"/>
      </w:pPr>
      <w:r>
        <w:t>临时过渡安置期满</w:t>
      </w:r>
      <w:r>
        <w:rPr>
          <w:rFonts w:hint="eastAsia"/>
        </w:rPr>
        <w:t>两年</w:t>
      </w:r>
      <w:r>
        <w:t>（24个月）后，被</w:t>
      </w:r>
      <w:r>
        <w:rPr>
          <w:rFonts w:hint="eastAsia"/>
        </w:rPr>
        <w:t>归集</w:t>
      </w:r>
      <w:r>
        <w:t>人仍未得到妥善安置的，根据安置区实际建筑情况继续发放临时过渡安置费，直至通知办理安置房交房手续之日3个月止。被</w:t>
      </w:r>
      <w:r>
        <w:rPr>
          <w:rFonts w:hint="eastAsia"/>
        </w:rPr>
        <w:t>归集</w:t>
      </w:r>
      <w:r>
        <w:t>人无正当理由拒绝安置或拖延办理收房手续的，以通知被</w:t>
      </w:r>
      <w:r>
        <w:rPr>
          <w:rFonts w:hint="eastAsia"/>
        </w:rPr>
        <w:t>归集</w:t>
      </w:r>
      <w:r>
        <w:t>人办理安置或收房手续之日作为停发临时过渡安置费的截止点，因此产生的不利后果由被</w:t>
      </w:r>
      <w:r>
        <w:rPr>
          <w:rFonts w:hint="eastAsia"/>
        </w:rPr>
        <w:t>归集</w:t>
      </w:r>
      <w:r>
        <w:t>人承担。</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已选择单一货币补偿的被</w:t>
      </w:r>
      <w:r>
        <w:rPr>
          <w:rFonts w:hint="eastAsia"/>
        </w:rPr>
        <w:t>归集</w:t>
      </w:r>
      <w:r>
        <w:t>人不再享受临时过渡安置补偿。</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产权归集补助费</w:t>
      </w:r>
      <w:r>
        <w:t xml:space="preserve"> </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归集补助费标准为</w:t>
      </w:r>
      <w:r>
        <w:t>3600元/户。被</w:t>
      </w:r>
      <w:r>
        <w:rPr>
          <w:rFonts w:hint="eastAsia"/>
        </w:rPr>
        <w:t>归集</w:t>
      </w:r>
      <w:r>
        <w:t>人选择单一货币补偿的，一次性结清</w:t>
      </w:r>
      <w:r>
        <w:rPr>
          <w:rFonts w:hint="eastAsia"/>
        </w:rPr>
        <w:t>归集</w:t>
      </w:r>
      <w:r>
        <w:t>补助费；选择产权置换、产权置换与货币补偿相结合的，按两次计算</w:t>
      </w:r>
      <w:r>
        <w:rPr>
          <w:rFonts w:hint="eastAsia"/>
        </w:rPr>
        <w:t>归集</w:t>
      </w:r>
      <w:r>
        <w:t>补助费。</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firstLineChars="200"/>
        <w:textAlignment w:val="auto"/>
      </w:pPr>
      <w:r>
        <w:rPr>
          <w:rFonts w:hint="eastAsia"/>
        </w:rPr>
        <w:t>其他补偿费用</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1.空调迁移补助费：300元/部。</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2.电话迁移补助费：200元/部。</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3.有线电视、数字电视迁移补助费：400元/户。</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4.太阳能热水器设备迁移补助费：800元/部。</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5.水表迁移补助费：500元/户。</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6.电表迁移补助费：600元/户。</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7. 天然气迁移补助费：2500元/户。</w:t>
      </w:r>
    </w:p>
    <w:p>
      <w:pPr>
        <w:pStyle w:val="15"/>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安置房建设地点、建设标准及选房原则</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安置房建设地点</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原</w:t>
      </w:r>
      <w:r>
        <w:rPr>
          <w:rFonts w:hint="eastAsia"/>
        </w:rPr>
        <w:t>近</w:t>
      </w:r>
      <w:r>
        <w:t>安置：项目范围内建设安置房</w:t>
      </w:r>
      <w:r>
        <w:rPr>
          <w:rFonts w:hint="eastAsia"/>
        </w:rPr>
        <w:t>，就近安置比例为75%</w:t>
      </w:r>
      <w:r>
        <w:t>。</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异地安置：只能进行异地安置的,或者被</w:t>
      </w:r>
      <w:r>
        <w:rPr>
          <w:rFonts w:hint="eastAsia"/>
        </w:rPr>
        <w:t>归集</w:t>
      </w:r>
      <w:r>
        <w:t>人自愿选择异地安置的,按照被</w:t>
      </w:r>
      <w:r>
        <w:rPr>
          <w:rFonts w:hint="eastAsia"/>
        </w:rPr>
        <w:t>归集</w:t>
      </w:r>
      <w:r>
        <w:t>人选定的产权置换套内面积10%给予被</w:t>
      </w:r>
      <w:r>
        <w:rPr>
          <w:rFonts w:hint="eastAsia"/>
        </w:rPr>
        <w:t>归集</w:t>
      </w:r>
      <w:r>
        <w:t>人奖励。</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安置房建设标准</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根据统一规划、统一设计、统一建设和统一安置原则，按照如下标准建设（毛坯房）：</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钢筋混凝土结构。</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外墙涂料（以规划部门批准为准）。</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入户大门为防盗门。</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门窗为铝合金或PVC塑钢玻璃门窗。</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各户入室强、弱电全部</w:t>
      </w:r>
      <w:r>
        <w:rPr>
          <w:rFonts w:hint="eastAsia"/>
        </w:rPr>
        <w:t>安装</w:t>
      </w:r>
      <w:r>
        <w:t>到位。</w:t>
      </w:r>
    </w:p>
    <w:p>
      <w:pPr>
        <w:pStyle w:val="19"/>
        <w:keepNext w:val="0"/>
        <w:keepLines w:val="0"/>
        <w:pageBreakBefore w:val="0"/>
        <w:widowControl w:val="0"/>
        <w:kinsoku/>
        <w:wordWrap/>
        <w:overflowPunct/>
        <w:topLinePunct w:val="0"/>
        <w:autoSpaceDE/>
        <w:autoSpaceDN/>
        <w:bidi w:val="0"/>
        <w:snapToGrid w:val="0"/>
        <w:spacing w:line="578" w:lineRule="exact"/>
        <w:ind w:left="0" w:leftChars="0" w:right="0" w:rightChars="0" w:firstLine="800"/>
        <w:textAlignment w:val="auto"/>
      </w:pPr>
      <w:r>
        <w:t>每户独立水、电、气表。</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安置房选房原则</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按被归集人签订产权归集协议时间的先后确定选房顺序，优先选择安置房（包括朝向、楼层、户型和房号等）；同一日签订协议的，采取抽签的方式确定选房顺序。</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安置房办证费用</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被归集人的房屋已依法取得房屋所有权证的，换发安置房屋不动产权证所需费用由归集人承担；被归集人的房屋未依法取得房屋所有权证的，归集人协助被归集人办理房屋不动产权证，换发安置房屋所有权证所需费用由被归集人承担；被归集人的房屋土地性质为划拨，安置房土地性质需办理为出让地的，由被归集人补交土地出让金；换发安置房屋不动产权证时安置房屋维修基金由被归集人承担。</w:t>
      </w:r>
    </w:p>
    <w:p>
      <w:pPr>
        <w:pStyle w:val="15"/>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积极配合奖励</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对符合安置条件的人员，积极配合进行清点、丈量和登记，在区政府公布的签约起始之日起</w:t>
      </w:r>
      <w:r>
        <w:t>45日内（含45日）签订房屋归集协议（或预签约协议），并在签约之日起10日内将房屋归集腾空的，每户一次性给予8万元的积极配合奖励；自签约开始之日起，超过45日后至65天内签订房屋归集协议（或预签约协议），并在签约之日起10日内将房屋腾空的，每户一次性给予5万元的积极配合奖励；自签约开始之日起，超过65日签订房屋归集协议（或预签约协议）的，不享受积极配合奖励。</w:t>
      </w:r>
    </w:p>
    <w:p>
      <w:pPr>
        <w:pStyle w:val="15"/>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福利保障</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被归集人的家庭为三亚市最低生活保障对象和认定为城乡低收入家庭的，经区民政部门核定后，可直接向相关部门申领租赁住房补贴或者公租房实物配租。</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从被归集人安置入住之年起，被归集人的子女可以选择继续就读原学校，也可以选择转学就读，需要转学就读的，市、区政府教育部门应当依据其新迁住址划定的招生范围免费依法办理相关手续。</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被归集人中的零就业家庭成员、抚养未成年子女的单亲家庭成员和享受最低生活保障待遇的人员，在法定劳动年龄内、有劳动能力和就业愿望的，由市、区政府人事社保部门给予核发《失业登记证》,纳入再就业政策扶持范围。</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被归集人在法定劳动年龄内持有《失业登记证》或属于城镇登记失业人员的，市、区政府人事社保部门应当给予免费职业技能培训和就业再就业税费减免等。</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实行财政补贴或扶持的各类社会公益性岗位，应当优先安排被归集人的户中持有《失业登记证》的零就业家庭成员及就业困难人员就业。</w:t>
      </w:r>
    </w:p>
    <w:p>
      <w:pPr>
        <w:pStyle w:val="15"/>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无法达成归集协议处理方式</w:t>
      </w:r>
    </w:p>
    <w:p>
      <w:pPr>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归集人完成项目更新范围内</w:t>
      </w:r>
      <w:r>
        <w:t>90%以上房屋及土地专有产权</w:t>
      </w:r>
      <w:r>
        <w:rPr>
          <w:rFonts w:hint="eastAsia"/>
        </w:rPr>
        <w:t>归集</w:t>
      </w:r>
      <w:r>
        <w:t>后，对于剩余不足10%经</w:t>
      </w:r>
      <w:r>
        <w:rPr>
          <w:rFonts w:hint="eastAsia"/>
        </w:rPr>
        <w:t>天涯</w:t>
      </w:r>
      <w:r>
        <w:t>区人民政府协调后仍无法达成协议的，由</w:t>
      </w:r>
      <w:r>
        <w:rPr>
          <w:rFonts w:hint="eastAsia"/>
        </w:rPr>
        <w:t>天涯</w:t>
      </w:r>
      <w:r>
        <w:t>区人民政府按照</w:t>
      </w:r>
      <w:r>
        <w:rPr>
          <w:rFonts w:hint="eastAsia"/>
        </w:rPr>
        <w:t>本</w:t>
      </w:r>
      <w:r>
        <w:t>项目房屋征收补偿安置方案相关规定进行依法征收。</w:t>
      </w:r>
    </w:p>
    <w:p>
      <w:pPr>
        <w:pStyle w:val="15"/>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rPr>
          <w:rFonts w:hint="eastAsia"/>
        </w:rPr>
        <w:t>附则</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本方案中的“户”按下列原则确定：被归集人的房屋有房屋所有权证书的，按照“一证一户”原则确定；没有房屋所有权证书，按照“一栋一户”的原则确定；行政事业单位、国有和集体企业的房改房、公房、经济适用房和单位集资房等福利住房，按“一协议一户”的原则确定。</w:t>
      </w:r>
      <w:bookmarkStart w:id="1" w:name="_GoBack"/>
      <w:bookmarkEnd w:id="1"/>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本方案中“四层半”的含义：“四层”是指地上建筑四层总面积；“半层”是指地上四层平均每层面积的一半(计算方法：半层面积</w:t>
      </w:r>
      <w:r>
        <w:rPr>
          <w:rFonts w:hint="eastAsia"/>
          <w:lang w:val="en-US" w:eastAsia="zh-CN"/>
        </w:rPr>
        <w:t>=</w:t>
      </w:r>
      <w:r>
        <w:t>地上四层总面积×1/4×50%)(含本数)。</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本方案中未尽事宜，按照《国有土地上房屋征收与补偿条例》及省、市有关规定，由归集单位与被归集人协商解决。</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本</w:t>
      </w:r>
      <w:r>
        <w:rPr>
          <w:rFonts w:hint="eastAsia"/>
        </w:rPr>
        <w:t>项目产权归集</w:t>
      </w:r>
      <w:r>
        <w:t>方案由三亚市天涯区人民政府负责解释。</w:t>
      </w:r>
    </w:p>
    <w:p>
      <w:pPr>
        <w:pStyle w:val="16"/>
        <w:keepNext w:val="0"/>
        <w:keepLines w:val="0"/>
        <w:pageBreakBefore w:val="0"/>
        <w:widowControl w:val="0"/>
        <w:kinsoku/>
        <w:wordWrap/>
        <w:overflowPunct/>
        <w:topLinePunct w:val="0"/>
        <w:autoSpaceDE/>
        <w:autoSpaceDN/>
        <w:bidi w:val="0"/>
        <w:snapToGrid w:val="0"/>
        <w:spacing w:line="578" w:lineRule="exact"/>
        <w:ind w:left="0" w:leftChars="0" w:right="0" w:rightChars="0" w:firstLine="640"/>
        <w:textAlignment w:val="auto"/>
      </w:pPr>
      <w:r>
        <w:t>本方案自公布之日起施行。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1134" w:footer="1134" w:gutter="0"/>
      <w:paperSrc/>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swiss"/>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Segoe UI Symbol">
    <w:panose1 w:val="020B0502040204020203"/>
    <w:charset w:val="00"/>
    <w:family w:val="decorative"/>
    <w:pitch w:val="default"/>
    <w:sig w:usb0="8000006F" w:usb1="1200FBEF" w:usb2="0064C000" w:usb3="00000002" w:csb0="00000001" w:csb1="4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jc w:val="center"/>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15654544">
    <w:nsid w:val="48756A90"/>
    <w:multiLevelType w:val="multilevel"/>
    <w:tmpl w:val="48756A90"/>
    <w:lvl w:ilvl="0" w:tentative="1">
      <w:start w:val="1"/>
      <w:numFmt w:val="chineseCountingThousand"/>
      <w:pStyle w:val="15"/>
      <w:suff w:val="nothing"/>
      <w:lvlText w:val="%1、"/>
      <w:lvlJc w:val="left"/>
      <w:pPr>
        <w:ind w:left="0" w:firstLine="400"/>
      </w:pPr>
    </w:lvl>
    <w:lvl w:ilvl="1" w:tentative="1">
      <w:start w:val="1"/>
      <w:numFmt w:val="chineseCountingThousand"/>
      <w:pStyle w:val="16"/>
      <w:suff w:val="nothing"/>
      <w:lvlText w:val="（%2）"/>
      <w:lvlJc w:val="left"/>
      <w:pPr>
        <w:ind w:left="0" w:firstLine="400"/>
      </w:pPr>
    </w:lvl>
    <w:lvl w:ilvl="2" w:tentative="1">
      <w:start w:val="1"/>
      <w:numFmt w:val="decimal"/>
      <w:pStyle w:val="19"/>
      <w:suff w:val="nothing"/>
      <w:lvlText w:val="%3. "/>
      <w:lvlJc w:val="left"/>
      <w:pPr>
        <w:ind w:left="0" w:firstLine="600"/>
      </w:pPr>
    </w:lvl>
    <w:lvl w:ilvl="3" w:tentative="1">
      <w:start w:val="1"/>
      <w:numFmt w:val="decimal"/>
      <w:pStyle w:val="21"/>
      <w:suff w:val="nothing"/>
      <w:lvlText w:val="（%4）"/>
      <w:lvlJc w:val="left"/>
      <w:pPr>
        <w:ind w:left="0" w:firstLine="640"/>
      </w:pPr>
    </w:lvl>
    <w:lvl w:ilvl="4" w:tentative="1">
      <w:start w:val="1"/>
      <w:numFmt w:val="lowerLetter"/>
      <w:lvlText w:val="%5)"/>
      <w:lvlJc w:val="left"/>
      <w:pPr>
        <w:ind w:left="0" w:firstLine="0"/>
      </w:pPr>
    </w:lvl>
    <w:lvl w:ilvl="5" w:tentative="1">
      <w:start w:val="1"/>
      <w:numFmt w:val="lowerRoman"/>
      <w:lvlText w:val="%6."/>
      <w:lvlJc w:val="right"/>
      <w:pPr>
        <w:ind w:left="0" w:firstLine="0"/>
      </w:pPr>
    </w:lvl>
    <w:lvl w:ilvl="6" w:tentative="1">
      <w:start w:val="1"/>
      <w:numFmt w:val="decimal"/>
      <w:lvlText w:val="%7."/>
      <w:lvlJc w:val="left"/>
      <w:pPr>
        <w:ind w:left="0" w:firstLine="0"/>
      </w:pPr>
    </w:lvl>
    <w:lvl w:ilvl="7" w:tentative="1">
      <w:start w:val="1"/>
      <w:numFmt w:val="lowerLetter"/>
      <w:lvlText w:val="%8)"/>
      <w:lvlJc w:val="left"/>
      <w:pPr>
        <w:ind w:left="0" w:firstLine="0"/>
      </w:pPr>
    </w:lvl>
    <w:lvl w:ilvl="8" w:tentative="1">
      <w:start w:val="1"/>
      <w:numFmt w:val="lowerRoman"/>
      <w:lvlText w:val="%9."/>
      <w:lvlJc w:val="right"/>
      <w:pPr>
        <w:ind w:left="0" w:firstLine="0"/>
      </w:pPr>
    </w:lvl>
  </w:abstractNum>
  <w:num w:numId="1">
    <w:abstractNumId w:val="12156545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6"/>
    <w:rsid w:val="00001974"/>
    <w:rsid w:val="00031CDC"/>
    <w:rsid w:val="00073621"/>
    <w:rsid w:val="000856FC"/>
    <w:rsid w:val="00093412"/>
    <w:rsid w:val="000B41E8"/>
    <w:rsid w:val="000C4141"/>
    <w:rsid w:val="000C4970"/>
    <w:rsid w:val="000C537E"/>
    <w:rsid w:val="000C6291"/>
    <w:rsid w:val="000E3701"/>
    <w:rsid w:val="000E7191"/>
    <w:rsid w:val="001246B3"/>
    <w:rsid w:val="0016728F"/>
    <w:rsid w:val="00191277"/>
    <w:rsid w:val="00192059"/>
    <w:rsid w:val="00196CB1"/>
    <w:rsid w:val="001C67B3"/>
    <w:rsid w:val="001D06AA"/>
    <w:rsid w:val="00201E86"/>
    <w:rsid w:val="00217F4A"/>
    <w:rsid w:val="00227199"/>
    <w:rsid w:val="002362BF"/>
    <w:rsid w:val="00267FE9"/>
    <w:rsid w:val="002953C0"/>
    <w:rsid w:val="002B74BB"/>
    <w:rsid w:val="002E1B11"/>
    <w:rsid w:val="00301A65"/>
    <w:rsid w:val="003219B8"/>
    <w:rsid w:val="0034564D"/>
    <w:rsid w:val="00347FE5"/>
    <w:rsid w:val="00370073"/>
    <w:rsid w:val="00370598"/>
    <w:rsid w:val="00376134"/>
    <w:rsid w:val="003A0886"/>
    <w:rsid w:val="003B3D0B"/>
    <w:rsid w:val="003C657E"/>
    <w:rsid w:val="003F0E8F"/>
    <w:rsid w:val="00402B3F"/>
    <w:rsid w:val="00420D4A"/>
    <w:rsid w:val="00436059"/>
    <w:rsid w:val="004518A3"/>
    <w:rsid w:val="0045450E"/>
    <w:rsid w:val="00454867"/>
    <w:rsid w:val="004B1CF6"/>
    <w:rsid w:val="004C157B"/>
    <w:rsid w:val="004C7FCF"/>
    <w:rsid w:val="004D0D5E"/>
    <w:rsid w:val="004F34D0"/>
    <w:rsid w:val="00505709"/>
    <w:rsid w:val="00542E20"/>
    <w:rsid w:val="0055248B"/>
    <w:rsid w:val="0059681A"/>
    <w:rsid w:val="005B6B65"/>
    <w:rsid w:val="005C02DE"/>
    <w:rsid w:val="005D21AF"/>
    <w:rsid w:val="00614C68"/>
    <w:rsid w:val="0062551C"/>
    <w:rsid w:val="00627659"/>
    <w:rsid w:val="006605A0"/>
    <w:rsid w:val="00666390"/>
    <w:rsid w:val="00683E31"/>
    <w:rsid w:val="006871AC"/>
    <w:rsid w:val="006956CC"/>
    <w:rsid w:val="006C3629"/>
    <w:rsid w:val="006C5B77"/>
    <w:rsid w:val="006D2CF7"/>
    <w:rsid w:val="006D71D3"/>
    <w:rsid w:val="006E6E58"/>
    <w:rsid w:val="006F5A6A"/>
    <w:rsid w:val="0072256E"/>
    <w:rsid w:val="007244F0"/>
    <w:rsid w:val="00742D04"/>
    <w:rsid w:val="00762F83"/>
    <w:rsid w:val="00765D66"/>
    <w:rsid w:val="0077244E"/>
    <w:rsid w:val="00792694"/>
    <w:rsid w:val="007B12FA"/>
    <w:rsid w:val="007C7945"/>
    <w:rsid w:val="007D3BE3"/>
    <w:rsid w:val="007E625D"/>
    <w:rsid w:val="007F7A0C"/>
    <w:rsid w:val="00825974"/>
    <w:rsid w:val="0083501C"/>
    <w:rsid w:val="008356F6"/>
    <w:rsid w:val="00837B32"/>
    <w:rsid w:val="0084395E"/>
    <w:rsid w:val="00847C0F"/>
    <w:rsid w:val="00882B9A"/>
    <w:rsid w:val="0089477E"/>
    <w:rsid w:val="008A475F"/>
    <w:rsid w:val="008B3E4C"/>
    <w:rsid w:val="008C0C31"/>
    <w:rsid w:val="008D1434"/>
    <w:rsid w:val="008D3136"/>
    <w:rsid w:val="008D55E2"/>
    <w:rsid w:val="008E15E1"/>
    <w:rsid w:val="008E376C"/>
    <w:rsid w:val="008E409F"/>
    <w:rsid w:val="009011FB"/>
    <w:rsid w:val="00904D1F"/>
    <w:rsid w:val="009536EF"/>
    <w:rsid w:val="009729EB"/>
    <w:rsid w:val="00997334"/>
    <w:rsid w:val="009B0C9E"/>
    <w:rsid w:val="009B5975"/>
    <w:rsid w:val="009C68B4"/>
    <w:rsid w:val="009C7C8E"/>
    <w:rsid w:val="009D5115"/>
    <w:rsid w:val="009E1336"/>
    <w:rsid w:val="009E4B01"/>
    <w:rsid w:val="00A24334"/>
    <w:rsid w:val="00A45E86"/>
    <w:rsid w:val="00A56129"/>
    <w:rsid w:val="00A57929"/>
    <w:rsid w:val="00A66712"/>
    <w:rsid w:val="00AA7AF7"/>
    <w:rsid w:val="00AB1A6C"/>
    <w:rsid w:val="00AC3C61"/>
    <w:rsid w:val="00AD5BA2"/>
    <w:rsid w:val="00AD638E"/>
    <w:rsid w:val="00AE4E0C"/>
    <w:rsid w:val="00AF6FEB"/>
    <w:rsid w:val="00B06282"/>
    <w:rsid w:val="00B14982"/>
    <w:rsid w:val="00B34358"/>
    <w:rsid w:val="00B36C71"/>
    <w:rsid w:val="00B43D80"/>
    <w:rsid w:val="00B45DB5"/>
    <w:rsid w:val="00B67670"/>
    <w:rsid w:val="00B83498"/>
    <w:rsid w:val="00B86BEE"/>
    <w:rsid w:val="00B96ECA"/>
    <w:rsid w:val="00BC092E"/>
    <w:rsid w:val="00BF39B4"/>
    <w:rsid w:val="00C2540F"/>
    <w:rsid w:val="00C509B1"/>
    <w:rsid w:val="00C718DD"/>
    <w:rsid w:val="00C73401"/>
    <w:rsid w:val="00C93EC4"/>
    <w:rsid w:val="00CA4551"/>
    <w:rsid w:val="00CB0DF7"/>
    <w:rsid w:val="00CC5FAD"/>
    <w:rsid w:val="00D02B67"/>
    <w:rsid w:val="00D100D3"/>
    <w:rsid w:val="00D24DE3"/>
    <w:rsid w:val="00D264EE"/>
    <w:rsid w:val="00D75980"/>
    <w:rsid w:val="00D9279A"/>
    <w:rsid w:val="00D975D4"/>
    <w:rsid w:val="00DA6346"/>
    <w:rsid w:val="00DC5D41"/>
    <w:rsid w:val="00DC7955"/>
    <w:rsid w:val="00DD0784"/>
    <w:rsid w:val="00DD7AF4"/>
    <w:rsid w:val="00E01626"/>
    <w:rsid w:val="00E17F0E"/>
    <w:rsid w:val="00E331EA"/>
    <w:rsid w:val="00E4304E"/>
    <w:rsid w:val="00E4496B"/>
    <w:rsid w:val="00E5386E"/>
    <w:rsid w:val="00E54684"/>
    <w:rsid w:val="00E62F46"/>
    <w:rsid w:val="00E82C7E"/>
    <w:rsid w:val="00EA65EA"/>
    <w:rsid w:val="00EB06DF"/>
    <w:rsid w:val="00EB1BDB"/>
    <w:rsid w:val="00EB68AB"/>
    <w:rsid w:val="00EC4F8F"/>
    <w:rsid w:val="00EE6A7C"/>
    <w:rsid w:val="00EF3394"/>
    <w:rsid w:val="00F02372"/>
    <w:rsid w:val="00F12AAE"/>
    <w:rsid w:val="00F27A64"/>
    <w:rsid w:val="00F62B6F"/>
    <w:rsid w:val="00F638C4"/>
    <w:rsid w:val="00F70E6A"/>
    <w:rsid w:val="00FC164B"/>
    <w:rsid w:val="00FD6B7A"/>
    <w:rsid w:val="00FE3A36"/>
    <w:rsid w:val="00FF08DF"/>
    <w:rsid w:val="352F7A2A"/>
    <w:rsid w:val="430A03AE"/>
    <w:rsid w:val="50BA370F"/>
    <w:rsid w:val="6CA11762"/>
    <w:rsid w:val="6FFA5F9F"/>
    <w:rsid w:val="7589422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200" w:firstLineChars="200"/>
      <w:jc w:val="both"/>
    </w:pPr>
    <w:rPr>
      <w:rFonts w:ascii="仿宋_GB2312" w:eastAsia="仿宋_GB2312" w:hAnsiTheme="minorHAnsi" w:cstheme="minorBidi"/>
      <w:kern w:val="2"/>
      <w:sz w:val="32"/>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 w:type="character" w:customStyle="1" w:styleId="10">
    <w:name w:val="标题 1 字符"/>
    <w:basedOn w:val="6"/>
    <w:link w:val="2"/>
    <w:qFormat/>
    <w:uiPriority w:val="9"/>
    <w:rPr>
      <w:b/>
      <w:bCs/>
      <w:kern w:val="44"/>
      <w:sz w:val="44"/>
      <w:szCs w:val="44"/>
    </w:rPr>
  </w:style>
  <w:style w:type="character" w:customStyle="1" w:styleId="11">
    <w:name w:val="标题 2 字符"/>
    <w:basedOn w:val="6"/>
    <w:link w:val="3"/>
    <w:semiHidden/>
    <w:qFormat/>
    <w:uiPriority w:val="9"/>
    <w:rPr>
      <w:rFonts w:asciiTheme="majorHAnsi" w:hAnsiTheme="majorHAnsi" w:eastAsiaTheme="majorEastAsia" w:cstheme="majorBidi"/>
      <w:b/>
      <w:bCs/>
      <w:sz w:val="32"/>
      <w:szCs w:val="32"/>
    </w:rPr>
  </w:style>
  <w:style w:type="paragraph" w:customStyle="1" w:styleId="12">
    <w:name w:val="主标题"/>
    <w:basedOn w:val="1"/>
    <w:next w:val="1"/>
    <w:link w:val="14"/>
    <w:qFormat/>
    <w:uiPriority w:val="0"/>
    <w:pPr>
      <w:spacing w:line="560" w:lineRule="exact"/>
      <w:ind w:firstLine="0" w:firstLineChars="0"/>
      <w:jc w:val="center"/>
    </w:pPr>
    <w:rPr>
      <w:rFonts w:ascii="方正小标宋简体" w:hAnsi="方正小标宋简体" w:eastAsia="方正小标宋简体"/>
      <w:sz w:val="44"/>
      <w:szCs w:val="44"/>
    </w:rPr>
  </w:style>
  <w:style w:type="paragraph" w:customStyle="1" w:styleId="13">
    <w:name w:val="List Paragraph"/>
    <w:basedOn w:val="1"/>
    <w:link w:val="17"/>
    <w:qFormat/>
    <w:uiPriority w:val="34"/>
    <w:pPr>
      <w:ind w:firstLine="420"/>
    </w:pPr>
  </w:style>
  <w:style w:type="character" w:customStyle="1" w:styleId="14">
    <w:name w:val="主标题 字符"/>
    <w:basedOn w:val="6"/>
    <w:link w:val="12"/>
    <w:qFormat/>
    <w:uiPriority w:val="0"/>
    <w:rPr>
      <w:rFonts w:ascii="方正小标宋简体" w:hAnsi="方正小标宋简体" w:eastAsia="方正小标宋简体"/>
      <w:sz w:val="44"/>
      <w:szCs w:val="44"/>
    </w:rPr>
  </w:style>
  <w:style w:type="paragraph" w:customStyle="1" w:styleId="15">
    <w:name w:val="层级一"/>
    <w:basedOn w:val="1"/>
    <w:next w:val="1"/>
    <w:link w:val="18"/>
    <w:qFormat/>
    <w:uiPriority w:val="0"/>
    <w:pPr>
      <w:numPr>
        <w:ilvl w:val="0"/>
        <w:numId w:val="1"/>
      </w:numPr>
      <w:adjustRightInd w:val="0"/>
      <w:ind w:firstLine="200"/>
      <w:outlineLvl w:val="0"/>
    </w:pPr>
    <w:rPr>
      <w:rFonts w:ascii="黑体" w:hAnsi="黑体" w:eastAsia="黑体"/>
    </w:rPr>
  </w:style>
  <w:style w:type="paragraph" w:customStyle="1" w:styleId="16">
    <w:name w:val="层级二"/>
    <w:basedOn w:val="1"/>
    <w:next w:val="1"/>
    <w:link w:val="20"/>
    <w:qFormat/>
    <w:uiPriority w:val="0"/>
    <w:pPr>
      <w:numPr>
        <w:ilvl w:val="1"/>
        <w:numId w:val="1"/>
      </w:numPr>
      <w:adjustRightInd w:val="0"/>
      <w:ind w:firstLine="0" w:firstLineChars="0"/>
      <w:outlineLvl w:val="1"/>
    </w:pPr>
    <w:rPr>
      <w:rFonts w:hAnsi="楷体"/>
    </w:rPr>
  </w:style>
  <w:style w:type="character" w:customStyle="1" w:styleId="17">
    <w:name w:val="列出段落 字符"/>
    <w:basedOn w:val="6"/>
    <w:link w:val="13"/>
    <w:qFormat/>
    <w:uiPriority w:val="34"/>
    <w:rPr>
      <w:rFonts w:ascii="仿宋_GB2312" w:eastAsia="仿宋_GB2312"/>
      <w:sz w:val="32"/>
    </w:rPr>
  </w:style>
  <w:style w:type="character" w:customStyle="1" w:styleId="18">
    <w:name w:val="层级一 字符"/>
    <w:basedOn w:val="17"/>
    <w:link w:val="15"/>
    <w:qFormat/>
    <w:uiPriority w:val="0"/>
    <w:rPr>
      <w:rFonts w:ascii="黑体" w:hAnsi="黑体" w:eastAsia="黑体"/>
      <w:sz w:val="32"/>
    </w:rPr>
  </w:style>
  <w:style w:type="paragraph" w:customStyle="1" w:styleId="19">
    <w:name w:val="层级三"/>
    <w:basedOn w:val="1"/>
    <w:next w:val="1"/>
    <w:link w:val="22"/>
    <w:qFormat/>
    <w:uiPriority w:val="0"/>
    <w:pPr>
      <w:numPr>
        <w:ilvl w:val="2"/>
        <w:numId w:val="1"/>
      </w:numPr>
      <w:adjustRightInd w:val="0"/>
      <w:ind w:firstLineChars="0"/>
      <w:outlineLvl w:val="2"/>
    </w:pPr>
  </w:style>
  <w:style w:type="character" w:customStyle="1" w:styleId="20">
    <w:name w:val="层级二 字符"/>
    <w:basedOn w:val="17"/>
    <w:link w:val="16"/>
    <w:qFormat/>
    <w:uiPriority w:val="0"/>
    <w:rPr>
      <w:rFonts w:ascii="仿宋_GB2312" w:hAnsi="楷体" w:eastAsia="仿宋_GB2312"/>
      <w:sz w:val="32"/>
    </w:rPr>
  </w:style>
  <w:style w:type="paragraph" w:customStyle="1" w:styleId="21">
    <w:name w:val="层级四"/>
    <w:basedOn w:val="1"/>
    <w:next w:val="1"/>
    <w:link w:val="23"/>
    <w:qFormat/>
    <w:uiPriority w:val="0"/>
    <w:pPr>
      <w:numPr>
        <w:ilvl w:val="3"/>
        <w:numId w:val="1"/>
      </w:numPr>
      <w:adjustRightInd w:val="0"/>
      <w:ind w:firstLine="250" w:firstLineChars="250"/>
    </w:pPr>
  </w:style>
  <w:style w:type="character" w:customStyle="1" w:styleId="22">
    <w:name w:val="层级三 字符"/>
    <w:basedOn w:val="17"/>
    <w:link w:val="19"/>
    <w:qFormat/>
    <w:uiPriority w:val="0"/>
    <w:rPr>
      <w:rFonts w:ascii="仿宋_GB2312" w:eastAsia="仿宋_GB2312"/>
      <w:sz w:val="32"/>
    </w:rPr>
  </w:style>
  <w:style w:type="character" w:customStyle="1" w:styleId="23">
    <w:name w:val="层级四 字符"/>
    <w:basedOn w:val="17"/>
    <w:link w:val="21"/>
    <w:qFormat/>
    <w:uiPriority w:val="0"/>
    <w:rPr>
      <w:rFonts w:ascii="仿宋_GB2312"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95A060-38FA-41AB-BB0D-7053A936B9A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781</Words>
  <Characters>4452</Characters>
  <Lines>37</Lines>
  <Paragraphs>10</Paragraphs>
  <ScaleCrop>false</ScaleCrop>
  <LinksUpToDate>false</LinksUpToDate>
  <CharactersWithSpaces>5223</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2025-07-10T07:26:00Z</dcterms:created>
  <dc:creator>Administrator</dc:creator>
  <cp:lastModifiedBy>天涯区政府办发文员</cp:lastModifiedBy>
  <cp:lastPrinted>2025-12-11T08:10:00Z</cp:lastPrinted>
  <dcterms:modified xsi:type="dcterms:W3CDTF">2025-12-16T09:39:51Z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D36AD4F6631C42F9AC578EFE15A8E88E</vt:lpwstr>
  </property>
</Properties>
</file>