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23FE6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u w:val="none" w:color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u w:val="none" w:color="auto"/>
          <w:lang w:eastAsia="zh-CN"/>
          <w14:textFill>
            <w14:solidFill>
              <w14:schemeClr w14:val="tx1"/>
            </w14:solidFill>
          </w14:textFill>
        </w:rPr>
        <w:t>三亚市梅村片区项目用地征收补偿安置</w:t>
      </w:r>
    </w:p>
    <w:p w14:paraId="771D0D7C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 w:color="auto"/>
        </w:rPr>
        <w:t>补充方案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 w:color="auto"/>
          <w:lang w:eastAsia="zh-CN"/>
        </w:rPr>
        <w:t>（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 w:color="auto"/>
          <w:lang w:val="en-US" w:eastAsia="zh-CN"/>
        </w:rPr>
        <w:t>三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 w:color="auto"/>
          <w:lang w:eastAsia="zh-CN"/>
        </w:rPr>
        <w:t>）</w:t>
      </w:r>
    </w:p>
    <w:p w14:paraId="34451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200" w:firstLineChars="10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征求意见稿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</w:p>
    <w:p w14:paraId="5F544AD0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黑体" w:cs="Times New Roman"/>
          <w:sz w:val="44"/>
          <w:szCs w:val="44"/>
        </w:rPr>
      </w:pPr>
    </w:p>
    <w:p w14:paraId="06D37BF5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规范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推进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三亚市梅村片区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三亚金谷产业园项目用地征收补偿安置工作，保障项目建设顺利实施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被征收户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合法权益，确保政策执行的公平与统一，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按照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《中华人民共和国土地管理法》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《中华人民共和国土地管理法实施条例》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《海南省土地征收补偿安置管理办法》等法律法规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精神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根据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《三亚市梅村片区项目用地征收补偿安置方案》（天府〔2024〕43号）、《三亚市梅村片区项目用地征收补偿安置补充方案》（天府〔2024〕191号）（以下合称“基准方案”）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相关要求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结合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三亚金谷产业园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开发建设和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项目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用地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实际情况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制定本补充方案如下：</w:t>
      </w:r>
    </w:p>
    <w:p w14:paraId="67929C00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一、征收范围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及补偿标准</w:t>
      </w:r>
    </w:p>
    <w:p w14:paraId="524AE587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三亚金谷产业园项目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用地征收补偿安置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实施的范围为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园区控规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范围内需征收的土地及地上附着物，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具体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包含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如下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梅村片区三亚综合物流园项目约527277平方米储备用地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三亚综合物流园区（一期）控规WL01-06地块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三亚梅村产业园西区二期配套项目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三亚梅村产业园控规WL05-04地块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三亚梅村产业园控规WL06-03、WL07-01、MC01-07、MC01-11地块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三亚梅村产业园控制性详细规划WL05-02和WL06-04地块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三亚市天涯区梅村物流园安置区项目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三亚市梅村产业园（二、三期）控制性详细规划暨城市设计MC01-13等地块及周边部分道路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三亚崖州湾科技城综合物流园区安置区配套道路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三亚崖州湾科技城综合物流园区五网基础设施配套工程项目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三亚市梅村产业园控制性详细规划WL05-01、WL05-02、WL05-03地块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等及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后续因开发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建设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规划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调整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新增的项目地块。</w:t>
      </w:r>
    </w:p>
    <w:p w14:paraId="17555535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上述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三亚金谷产业园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所有项目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地块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的征收补偿标准，均统一参照基准方案标准执行。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同时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鉴于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园区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规划调整周期长、整体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实施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跨度大，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项目地块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采取“统一规划、分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地块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征收”的模式推进。</w:t>
      </w:r>
    </w:p>
    <w:p w14:paraId="74DD769C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二、事项执行原则</w:t>
      </w:r>
    </w:p>
    <w:p w14:paraId="0C21DCBF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为保障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三亚金谷产业园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项目地块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征收补偿安置工作的公平性与合法性，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安置对象认定、分户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认定及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奖励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措施起算等时间节点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，均以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园区开发建设进度、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地块实际征收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阶段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当期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发布的《征收补偿安置公告》载明的具体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规定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为准。</w:t>
      </w:r>
    </w:p>
    <w:p w14:paraId="53535397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（一）各阶段独立的时间节点及奖励措施起算时间节点</w:t>
      </w:r>
    </w:p>
    <w:p w14:paraId="084DD80F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安置对象及分户认定时间节点截止日期：每期公告中载明当期具体的征收地块范围、当期的征收时限以及当期的安置对象及分户认定截止日期（该截止日期统一确定为当期征收补偿安置公告发布之日）。</w:t>
      </w:r>
    </w:p>
    <w:p w14:paraId="350B47C5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奖励措施起算时间节点：项目各阶段的奖励措施起算时间节点，统一以地块当期《征收补偿安置公告》发布之日为准。</w:t>
      </w:r>
    </w:p>
    <w:p w14:paraId="4CD789EB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ind w:firstLine="64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（二）明确时间节点后特殊群体和事项的权益处理规则</w:t>
      </w:r>
    </w:p>
    <w:p w14:paraId="5FC51062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对在各阶段当期《征收补偿安置公告》发布之日后去世的被安置人员，其根据基准方案及公告已依法享有的各项补偿安置权益，由其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合法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继承人依法继承。对在各阶段当期《征收补偿安置公告》发布之日前去世的人员，其不享有该期补偿安置权益。</w:t>
      </w:r>
    </w:p>
    <w:p w14:paraId="76A3C248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特殊群体（胎儿）的补充认定流程：对于当期《征收补偿安置公告》发布之日起10个月内出生的新生儿，可以申请纳入当期安置对象。由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所在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村委会调查上报，天涯区人民政府审核通过后按其父母类型及标准进行安置。</w:t>
      </w:r>
    </w:p>
    <w:p w14:paraId="66550E1E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、附则</w:t>
      </w:r>
    </w:p>
    <w:p w14:paraId="5BFCF9A2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本补充方案与《三亚市梅村片区项目用地征收补偿安置方案》（天府〔2024〕43号）、《三亚市梅村片区项目用地征收补偿安置补充方案》（天府〔2024〕191号）不一致的，以本补充方案为准。</w:t>
      </w:r>
    </w:p>
    <w:p w14:paraId="492A4313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本补充方案自公布之日起实施。</w:t>
      </w:r>
    </w:p>
    <w:p w14:paraId="4D7E6F03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cs="Times New Roman"/>
          <w:sz w:val="32"/>
          <w:szCs w:val="32"/>
        </w:rPr>
      </w:pPr>
      <w:bookmarkStart w:id="0" w:name="_GoBack"/>
      <w:r>
        <w:rPr>
          <w:rFonts w:hint="eastAsia" w:ascii="楷体_GB2312" w:hAnsi="楷体_GB2312" w:eastAsia="楷体_GB2312" w:cs="楷体_GB2312"/>
          <w:sz w:val="32"/>
          <w:szCs w:val="32"/>
        </w:rPr>
        <w:t>（三）</w:t>
      </w:r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本补充方案由三亚市天涯区人民政府负责解释。</w:t>
      </w:r>
    </w:p>
    <w:p w14:paraId="53545347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Times New Roman" w:hAnsi="Times New Roman" w:cs="Times New Roman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aperSrc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D63C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328FB0">
                          <w:pPr>
                            <w:pStyle w:val="3"/>
                            <w:rPr>
                              <w:rFonts w:hint="eastAsia" w:eastAsia="仿宋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328FB0">
                    <w:pPr>
                      <w:pStyle w:val="3"/>
                      <w:rPr>
                        <w:rFonts w:hint="eastAsia" w:eastAsia="仿宋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zOTAwZTU2MzNlMjg2MzBiYTYwYjcyM2JjMWQzOTEifQ=="/>
  </w:docVars>
  <w:rsids>
    <w:rsidRoot w:val="00000000"/>
    <w:rsid w:val="01D168DE"/>
    <w:rsid w:val="028D1A79"/>
    <w:rsid w:val="04194CE4"/>
    <w:rsid w:val="065B0DEF"/>
    <w:rsid w:val="06856661"/>
    <w:rsid w:val="06AD3C81"/>
    <w:rsid w:val="072E7BE5"/>
    <w:rsid w:val="07465DF0"/>
    <w:rsid w:val="08A2348A"/>
    <w:rsid w:val="09304FAA"/>
    <w:rsid w:val="0EF337CE"/>
    <w:rsid w:val="130C25E4"/>
    <w:rsid w:val="15381C45"/>
    <w:rsid w:val="1849162A"/>
    <w:rsid w:val="1B50572D"/>
    <w:rsid w:val="1C282A74"/>
    <w:rsid w:val="1DC65DCF"/>
    <w:rsid w:val="1EDA1D57"/>
    <w:rsid w:val="21025026"/>
    <w:rsid w:val="217704BA"/>
    <w:rsid w:val="24320E91"/>
    <w:rsid w:val="295E62BE"/>
    <w:rsid w:val="2CF41804"/>
    <w:rsid w:val="2D5C2718"/>
    <w:rsid w:val="320C545C"/>
    <w:rsid w:val="377F0D27"/>
    <w:rsid w:val="3AC068DC"/>
    <w:rsid w:val="3C4E1C3F"/>
    <w:rsid w:val="3EFE6219"/>
    <w:rsid w:val="3F283A52"/>
    <w:rsid w:val="41860B91"/>
    <w:rsid w:val="42D71A17"/>
    <w:rsid w:val="437D25BE"/>
    <w:rsid w:val="472C4B7D"/>
    <w:rsid w:val="4A69389D"/>
    <w:rsid w:val="4ACB2A1A"/>
    <w:rsid w:val="4F3B5568"/>
    <w:rsid w:val="4F8F1E96"/>
    <w:rsid w:val="50A307AC"/>
    <w:rsid w:val="513E1CC0"/>
    <w:rsid w:val="537D7F2A"/>
    <w:rsid w:val="54481459"/>
    <w:rsid w:val="545B0889"/>
    <w:rsid w:val="54EC75A4"/>
    <w:rsid w:val="55823A64"/>
    <w:rsid w:val="568A7075"/>
    <w:rsid w:val="57E24C8E"/>
    <w:rsid w:val="57F14ED1"/>
    <w:rsid w:val="59234287"/>
    <w:rsid w:val="5EF11338"/>
    <w:rsid w:val="5FEF69BD"/>
    <w:rsid w:val="600933E1"/>
    <w:rsid w:val="62CA4901"/>
    <w:rsid w:val="6EF13DFF"/>
    <w:rsid w:val="76F36490"/>
    <w:rsid w:val="77FA34D6"/>
    <w:rsid w:val="7B956EE6"/>
    <w:rsid w:val="7C892898"/>
    <w:rsid w:val="7FE3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wordWrap w:val="0"/>
      <w:topLinePunct/>
      <w:spacing w:line="560" w:lineRule="exact"/>
      <w:ind w:firstLine="602" w:firstLineChars="200"/>
      <w:jc w:val="both"/>
    </w:pPr>
    <w:rPr>
      <w:rFonts w:ascii="Calibri" w:hAnsi="Calibri" w:eastAsia="仿宋" w:cstheme="minorBidi"/>
      <w:sz w:val="30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61a23e-b32d-46e4-9682-eefb900b71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1393</Words>
  <Characters>1489</Characters>
  <Lines>0</Lines>
  <Paragraphs>0</Paragraphs>
  <TotalTime>14</TotalTime>
  <ScaleCrop>false</ScaleCrop>
  <LinksUpToDate>false</LinksUpToDate>
  <CharactersWithSpaces>1489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2025-12-07T18:54:00Z</dcterms:created>
  <dc:creator>Administrator</dc:creator>
  <cp:lastModifiedBy>user</cp:lastModifiedBy>
  <cp:lastPrinted>2026-08-07T15:47:00Z</cp:lastPrinted>
  <dcterms:modified xsi:type="dcterms:W3CDTF">2026-10-16T10:57:05Z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4072B46E54734F3E8F7063EB114216FE_13</vt:lpwstr>
  </property>
  <property fmtid="{D5CDD505-2E9C-101B-9397-08002B2CF9AE}" pid="4" name="KSOTemplateDocerSaveRecord">
    <vt:lpwstr>eyJoZGlkIjoiMzEwNTM5NzYwMDRjMzkwZTVkZjY2ODkwMGIxNGU0OTUiLCJ1c2VySWQiOiI5ODkyNDk0ODkifQ==</vt:lpwstr>
  </property>
</Properties>
</file>