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eastAsia="方正小标宋简体"/>
          <w:color w:val="auto"/>
          <w:sz w:val="44"/>
          <w:szCs w:val="44"/>
        </w:rPr>
      </w:pPr>
      <w:r>
        <w:rPr>
          <w:rFonts w:hint="eastAsia" w:ascii="方正小标宋简体" w:eastAsia="方正小标宋简体"/>
          <w:color w:val="auto"/>
          <w:sz w:val="44"/>
          <w:szCs w:val="44"/>
        </w:rPr>
        <w:t>三亚市天涯区</w:t>
      </w:r>
      <w:bookmarkStart w:id="0" w:name="_GoBack"/>
      <w:bookmarkEnd w:id="0"/>
      <w:r>
        <w:rPr>
          <w:rFonts w:hint="eastAsia" w:ascii="方正小标宋简体" w:eastAsia="方正小标宋简体"/>
          <w:color w:val="auto"/>
          <w:sz w:val="44"/>
          <w:szCs w:val="44"/>
        </w:rPr>
        <w:t>202</w:t>
      </w:r>
      <w:r>
        <w:rPr>
          <w:rFonts w:hint="eastAsia" w:ascii="方正小标宋简体" w:eastAsia="方正小标宋简体"/>
          <w:color w:val="auto"/>
          <w:sz w:val="44"/>
          <w:szCs w:val="44"/>
          <w:lang w:val="en-US" w:eastAsia="zh-CN"/>
        </w:rPr>
        <w:t>3</w:t>
      </w:r>
      <w:r>
        <w:rPr>
          <w:rFonts w:hint="eastAsia" w:ascii="方正小标宋简体" w:eastAsia="方正小标宋简体"/>
          <w:color w:val="auto"/>
          <w:sz w:val="44"/>
          <w:szCs w:val="44"/>
        </w:rPr>
        <w:t>年财政决算及</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eastAsia="方正小标宋简体"/>
          <w:color w:val="auto"/>
          <w:sz w:val="44"/>
          <w:szCs w:val="44"/>
        </w:rPr>
      </w:pPr>
      <w:r>
        <w:rPr>
          <w:rFonts w:hint="eastAsia" w:ascii="方正小标宋简体" w:eastAsia="方正小标宋简体"/>
          <w:color w:val="auto"/>
          <w:sz w:val="44"/>
          <w:szCs w:val="44"/>
        </w:rPr>
        <w:t>202</w:t>
      </w:r>
      <w:r>
        <w:rPr>
          <w:rFonts w:hint="eastAsia" w:ascii="方正小标宋简体" w:eastAsia="方正小标宋简体"/>
          <w:color w:val="auto"/>
          <w:sz w:val="44"/>
          <w:szCs w:val="44"/>
          <w:lang w:val="en-US" w:eastAsia="zh-CN"/>
        </w:rPr>
        <w:t>4</w:t>
      </w:r>
      <w:r>
        <w:rPr>
          <w:rFonts w:hint="eastAsia" w:ascii="方正小标宋简体" w:eastAsia="方正小标宋简体"/>
          <w:color w:val="auto"/>
          <w:sz w:val="44"/>
          <w:szCs w:val="44"/>
        </w:rPr>
        <w:t>年上半年财政预算执行情况</w:t>
      </w:r>
      <w:r>
        <w:rPr>
          <w:rFonts w:hint="eastAsia" w:ascii="方正小标宋简体" w:eastAsia="方正小标宋简体"/>
          <w:color w:val="auto"/>
          <w:sz w:val="44"/>
          <w:szCs w:val="44"/>
          <w:lang w:eastAsia="zh-CN"/>
        </w:rPr>
        <w:t>的</w:t>
      </w:r>
      <w:r>
        <w:rPr>
          <w:rFonts w:hint="eastAsia" w:ascii="方正小标宋简体" w:eastAsia="方正小标宋简体"/>
          <w:color w:val="auto"/>
          <w:sz w:val="44"/>
          <w:szCs w:val="44"/>
        </w:rPr>
        <w:t>报告</w:t>
      </w:r>
    </w:p>
    <w:p>
      <w:pPr>
        <w:pStyle w:val="2"/>
        <w:jc w:val="center"/>
        <w:rPr>
          <w:rFonts w:hint="eastAsia"/>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default" w:ascii="仿宋_GB2312" w:eastAsia="仿宋_GB2312"/>
          <w:color w:val="auto"/>
          <w:sz w:val="32"/>
          <w:szCs w:val="32"/>
          <w:lang w:val="en-US" w:eastAsia="zh-CN"/>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三亚市天涯区人民代表大会常务委员会：</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受天涯区人民政府委托，现向区人大常委会报告2023年天涯区本级财政决算报告和2024年上半年财政预算执行情况，请予审查。</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firstLine="640" w:firstLineChars="200"/>
        <w:textAlignment w:val="auto"/>
        <w:rPr>
          <w:rFonts w:eastAsia="黑体"/>
          <w:color w:val="auto"/>
          <w:sz w:val="32"/>
          <w:szCs w:val="32"/>
          <w:highlight w:val="none"/>
        </w:rPr>
      </w:pPr>
      <w:r>
        <w:rPr>
          <w:rFonts w:eastAsia="黑体"/>
          <w:color w:val="auto"/>
          <w:sz w:val="32"/>
          <w:szCs w:val="32"/>
          <w:highlight w:val="none"/>
        </w:rPr>
        <w:t>一、</w:t>
      </w:r>
      <w:r>
        <w:rPr>
          <w:rFonts w:hint="eastAsia" w:eastAsia="黑体"/>
          <w:color w:val="auto"/>
          <w:sz w:val="32"/>
          <w:szCs w:val="32"/>
          <w:highlight w:val="none"/>
        </w:rPr>
        <w:t>20</w:t>
      </w:r>
      <w:r>
        <w:rPr>
          <w:rFonts w:hint="eastAsia" w:eastAsia="黑体"/>
          <w:color w:val="auto"/>
          <w:sz w:val="32"/>
          <w:szCs w:val="32"/>
          <w:highlight w:val="none"/>
          <w:lang w:val="en-US" w:eastAsia="zh-CN"/>
        </w:rPr>
        <w:t>23</w:t>
      </w:r>
      <w:r>
        <w:rPr>
          <w:rFonts w:hint="eastAsia" w:eastAsia="黑体"/>
          <w:color w:val="auto"/>
          <w:sz w:val="32"/>
          <w:szCs w:val="32"/>
          <w:highlight w:val="none"/>
        </w:rPr>
        <w:t>年</w:t>
      </w:r>
      <w:r>
        <w:rPr>
          <w:rFonts w:eastAsia="黑体"/>
          <w:color w:val="auto"/>
          <w:sz w:val="32"/>
          <w:szCs w:val="32"/>
          <w:highlight w:val="none"/>
        </w:rPr>
        <w:t>全</w:t>
      </w:r>
      <w:r>
        <w:rPr>
          <w:rFonts w:hint="eastAsia" w:eastAsia="黑体"/>
          <w:color w:val="auto"/>
          <w:sz w:val="32"/>
          <w:szCs w:val="32"/>
          <w:highlight w:val="none"/>
          <w:lang w:eastAsia="zh-CN"/>
        </w:rPr>
        <w:t>区</w:t>
      </w:r>
      <w:r>
        <w:rPr>
          <w:rFonts w:eastAsia="黑体"/>
          <w:color w:val="auto"/>
          <w:sz w:val="32"/>
          <w:szCs w:val="32"/>
          <w:highlight w:val="none"/>
        </w:rPr>
        <w:t>财政决算情况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firstLine="640" w:firstLineChars="200"/>
        <w:textAlignment w:val="auto"/>
        <w:rPr>
          <w:rFonts w:eastAsia="仿宋_GB2312"/>
          <w:color w:val="auto"/>
          <w:sz w:val="32"/>
          <w:szCs w:val="32"/>
          <w:highlight w:val="none"/>
        </w:rPr>
      </w:pPr>
      <w:r>
        <w:rPr>
          <w:rFonts w:hint="eastAsia" w:ascii="楷体_GB2312" w:hAnsi="楷体_GB2312" w:eastAsia="楷体_GB2312" w:cs="楷体_GB2312"/>
          <w:bCs/>
          <w:color w:val="auto"/>
          <w:sz w:val="32"/>
          <w:szCs w:val="32"/>
          <w:highlight w:val="none"/>
        </w:rPr>
        <w:t>（一）全</w:t>
      </w:r>
      <w:r>
        <w:rPr>
          <w:rFonts w:hint="eastAsia" w:ascii="楷体_GB2312" w:hAnsi="楷体_GB2312" w:eastAsia="楷体_GB2312" w:cs="楷体_GB2312"/>
          <w:bCs/>
          <w:color w:val="auto"/>
          <w:sz w:val="32"/>
          <w:szCs w:val="32"/>
          <w:highlight w:val="none"/>
          <w:lang w:eastAsia="zh-CN"/>
        </w:rPr>
        <w:t>区</w:t>
      </w:r>
      <w:r>
        <w:rPr>
          <w:rFonts w:hint="eastAsia" w:ascii="楷体_GB2312" w:hAnsi="楷体_GB2312" w:eastAsia="楷体_GB2312" w:cs="楷体_GB2312"/>
          <w:bCs/>
          <w:color w:val="auto"/>
          <w:sz w:val="32"/>
          <w:szCs w:val="32"/>
          <w:highlight w:val="none"/>
        </w:rPr>
        <w:t>一般公共预算收支决算情况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全</w:t>
      </w:r>
      <w:r>
        <w:rPr>
          <w:rFonts w:hint="eastAsia" w:ascii="仿宋_GB2312" w:eastAsia="仿宋_GB2312"/>
          <w:color w:val="auto"/>
          <w:sz w:val="32"/>
          <w:szCs w:val="32"/>
          <w:highlight w:val="none"/>
          <w:lang w:eastAsia="zh-CN"/>
        </w:rPr>
        <w:t>区</w:t>
      </w:r>
      <w:r>
        <w:rPr>
          <w:rFonts w:hint="eastAsia" w:ascii="仿宋_GB2312" w:eastAsia="仿宋_GB2312"/>
          <w:color w:val="auto"/>
          <w:sz w:val="32"/>
          <w:szCs w:val="32"/>
          <w:highlight w:val="none"/>
        </w:rPr>
        <w:t>地方一般公共预算</w:t>
      </w:r>
      <w:r>
        <w:rPr>
          <w:rFonts w:hint="eastAsia" w:ascii="仿宋_GB2312" w:eastAsia="仿宋_GB2312"/>
          <w:color w:val="auto"/>
          <w:sz w:val="32"/>
          <w:szCs w:val="32"/>
          <w:highlight w:val="none"/>
          <w:lang w:eastAsia="zh-CN"/>
        </w:rPr>
        <w:t>收入</w:t>
      </w:r>
      <w:r>
        <w:rPr>
          <w:rFonts w:hint="eastAsia" w:ascii="仿宋_GB2312" w:eastAsia="仿宋_GB2312"/>
          <w:color w:val="auto"/>
          <w:sz w:val="32"/>
          <w:szCs w:val="32"/>
          <w:highlight w:val="none"/>
          <w:lang w:val="en-US" w:eastAsia="zh-CN"/>
        </w:rPr>
        <w:t>158,960</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完成年初预算的</w:t>
      </w:r>
      <w:r>
        <w:rPr>
          <w:rFonts w:hint="eastAsia" w:ascii="仿宋_GB2312" w:eastAsia="仿宋_GB2312"/>
          <w:color w:val="auto"/>
          <w:sz w:val="32"/>
          <w:szCs w:val="32"/>
          <w:highlight w:val="none"/>
          <w:lang w:val="en-US" w:eastAsia="zh-CN"/>
        </w:rPr>
        <w:t>82.8%，</w:t>
      </w:r>
      <w:r>
        <w:rPr>
          <w:rFonts w:hint="eastAsia" w:ascii="仿宋_GB2312" w:eastAsia="仿宋_GB2312"/>
          <w:color w:val="auto"/>
          <w:sz w:val="32"/>
          <w:szCs w:val="32"/>
          <w:highlight w:val="none"/>
        </w:rPr>
        <w:t>同比</w:t>
      </w:r>
      <w:r>
        <w:rPr>
          <w:rFonts w:hint="eastAsia" w:ascii="仿宋_GB2312" w:eastAsia="仿宋_GB2312" w:cs="Times New Roman"/>
          <w:color w:val="auto"/>
          <w:sz w:val="32"/>
          <w:szCs w:val="32"/>
          <w:highlight w:val="none"/>
          <w:lang w:eastAsia="zh-CN"/>
        </w:rPr>
        <w:t>增长</w:t>
      </w:r>
      <w:r>
        <w:rPr>
          <w:rFonts w:hint="eastAsia" w:ascii="仿宋_GB2312" w:eastAsia="仿宋_GB2312" w:cs="Times New Roman"/>
          <w:color w:val="auto"/>
          <w:sz w:val="32"/>
          <w:szCs w:val="32"/>
          <w:highlight w:val="none"/>
          <w:lang w:val="en-US" w:eastAsia="zh-CN"/>
        </w:rPr>
        <w:t>79.5</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，加上上级补助收入</w:t>
      </w:r>
      <w:r>
        <w:rPr>
          <w:rFonts w:hint="eastAsia" w:ascii="仿宋_GB2312" w:eastAsia="仿宋_GB2312"/>
          <w:color w:val="auto"/>
          <w:sz w:val="32"/>
          <w:szCs w:val="32"/>
          <w:highlight w:val="none"/>
          <w:lang w:val="en-US" w:eastAsia="zh-CN"/>
        </w:rPr>
        <w:t>75,354</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、债务转贷收入</w:t>
      </w:r>
      <w:r>
        <w:rPr>
          <w:rFonts w:hint="eastAsia" w:ascii="仿宋_GB2312" w:eastAsia="仿宋_GB2312"/>
          <w:color w:val="auto"/>
          <w:sz w:val="32"/>
          <w:szCs w:val="32"/>
          <w:highlight w:val="none"/>
          <w:lang w:val="en-US" w:eastAsia="zh-CN"/>
        </w:rPr>
        <w:t>2,131</w:t>
      </w:r>
      <w:r>
        <w:rPr>
          <w:rFonts w:hint="eastAsia" w:ascii="仿宋_GB2312" w:eastAsia="仿宋_GB2312"/>
          <w:color w:val="auto"/>
          <w:sz w:val="32"/>
          <w:szCs w:val="32"/>
          <w:highlight w:val="none"/>
          <w:lang w:eastAsia="zh-CN"/>
        </w:rPr>
        <w:t>万元、上年结余收入</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万元、</w:t>
      </w:r>
      <w:r>
        <w:rPr>
          <w:rFonts w:hint="eastAsia" w:ascii="仿宋_GB2312" w:hAnsi="Times New Roman" w:eastAsia="仿宋_GB2312" w:cs="Times New Roman"/>
          <w:color w:val="auto"/>
          <w:sz w:val="32"/>
          <w:szCs w:val="32"/>
          <w:highlight w:val="none"/>
          <w:lang w:eastAsia="zh-CN"/>
        </w:rPr>
        <w:t>动用预算稳定调节基金</w:t>
      </w:r>
      <w:r>
        <w:rPr>
          <w:rFonts w:hint="eastAsia" w:ascii="仿宋_GB2312" w:eastAsia="仿宋_GB2312" w:cs="Times New Roman"/>
          <w:color w:val="auto"/>
          <w:sz w:val="32"/>
          <w:szCs w:val="32"/>
          <w:highlight w:val="none"/>
          <w:lang w:val="en-US" w:eastAsia="zh-CN"/>
        </w:rPr>
        <w:t>173</w:t>
      </w:r>
      <w:r>
        <w:rPr>
          <w:rFonts w:hint="eastAsia" w:ascii="仿宋_GB2312" w:eastAsia="仿宋_GB2312"/>
          <w:color w:val="auto"/>
          <w:sz w:val="32"/>
          <w:szCs w:val="32"/>
          <w:highlight w:val="none"/>
          <w:lang w:val="en-US" w:eastAsia="zh-CN"/>
        </w:rPr>
        <w:t>万元，全区地方一般公共预算总收入236,618万元。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w:t>
      </w:r>
      <w:r>
        <w:rPr>
          <w:rFonts w:hint="eastAsia" w:ascii="仿宋_GB2312" w:eastAsia="仿宋_GB2312"/>
          <w:color w:val="auto"/>
          <w:sz w:val="32"/>
          <w:szCs w:val="32"/>
          <w:highlight w:val="none"/>
          <w:lang w:eastAsia="zh-CN"/>
        </w:rPr>
        <w:t>区</w:t>
      </w:r>
      <w:r>
        <w:rPr>
          <w:rFonts w:hint="eastAsia" w:ascii="仿宋_GB2312" w:eastAsia="仿宋_GB2312"/>
          <w:color w:val="auto"/>
          <w:sz w:val="32"/>
          <w:szCs w:val="32"/>
          <w:highlight w:val="none"/>
        </w:rPr>
        <w:t>地方一般公共预算支出</w:t>
      </w:r>
      <w:r>
        <w:rPr>
          <w:rFonts w:hint="eastAsia" w:ascii="仿宋_GB2312" w:eastAsia="仿宋_GB2312"/>
          <w:color w:val="auto"/>
          <w:sz w:val="32"/>
          <w:szCs w:val="32"/>
          <w:highlight w:val="none"/>
          <w:lang w:val="en-US" w:eastAsia="zh-CN"/>
        </w:rPr>
        <w:t>213,182</w:t>
      </w:r>
      <w:r>
        <w:rPr>
          <w:rFonts w:hint="eastAsia" w:ascii="仿宋_GB2312" w:eastAsia="仿宋_GB2312"/>
          <w:color w:val="auto"/>
          <w:sz w:val="32"/>
          <w:szCs w:val="32"/>
          <w:highlight w:val="none"/>
          <w:lang w:eastAsia="zh-CN"/>
        </w:rPr>
        <w:t>万元</w:t>
      </w:r>
      <w:r>
        <w:rPr>
          <w:rFonts w:hint="eastAsia" w:ascii="仿宋_GB2312" w:eastAsia="仿宋_GB2312"/>
          <w:color w:val="auto"/>
          <w:sz w:val="32"/>
          <w:szCs w:val="32"/>
          <w:highlight w:val="none"/>
        </w:rPr>
        <w:t>，同比</w:t>
      </w:r>
      <w:r>
        <w:rPr>
          <w:rFonts w:hint="eastAsia" w:ascii="仿宋_GB2312" w:eastAsia="仿宋_GB2312"/>
          <w:color w:val="auto"/>
          <w:sz w:val="32"/>
          <w:szCs w:val="32"/>
          <w:highlight w:val="none"/>
          <w:lang w:eastAsia="zh-CN"/>
        </w:rPr>
        <w:t>下降</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%，加上上解上级支出</w:t>
      </w:r>
      <w:r>
        <w:rPr>
          <w:rFonts w:hint="eastAsia" w:ascii="仿宋_GB2312" w:eastAsia="仿宋_GB2312"/>
          <w:color w:val="auto"/>
          <w:sz w:val="32"/>
          <w:szCs w:val="32"/>
          <w:highlight w:val="none"/>
          <w:lang w:val="en-US" w:eastAsia="zh-CN"/>
        </w:rPr>
        <w:t>12,348</w:t>
      </w:r>
      <w:r>
        <w:rPr>
          <w:rFonts w:hint="eastAsia" w:ascii="仿宋_GB2312" w:eastAsia="仿宋_GB2312"/>
          <w:color w:val="auto"/>
          <w:sz w:val="32"/>
          <w:szCs w:val="32"/>
          <w:highlight w:val="none"/>
          <w:lang w:eastAsia="zh-CN"/>
        </w:rPr>
        <w:t>万元、</w:t>
      </w:r>
      <w:r>
        <w:rPr>
          <w:rFonts w:hint="default" w:ascii="仿宋_GB2312" w:hAnsi="Times New Roman" w:eastAsia="仿宋_GB2312" w:cs="Times New Roman"/>
          <w:color w:val="auto"/>
          <w:sz w:val="32"/>
          <w:szCs w:val="32"/>
          <w:highlight w:val="none"/>
          <w:lang w:val="zh-CN" w:eastAsia="zh-CN"/>
        </w:rPr>
        <w:t>安排预算稳定调节基金</w:t>
      </w:r>
      <w:r>
        <w:rPr>
          <w:rFonts w:hint="eastAsia" w:ascii="仿宋_GB2312" w:eastAsia="仿宋_GB2312"/>
          <w:color w:val="auto"/>
          <w:sz w:val="32"/>
          <w:szCs w:val="32"/>
          <w:highlight w:val="none"/>
          <w:lang w:val="en-US" w:eastAsia="zh-CN"/>
        </w:rPr>
        <w:t>0</w:t>
      </w:r>
      <w:r>
        <w:rPr>
          <w:rFonts w:hint="default"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全</w:t>
      </w:r>
      <w:r>
        <w:rPr>
          <w:rFonts w:hint="eastAsia" w:ascii="仿宋_GB2312" w:eastAsia="仿宋_GB2312"/>
          <w:color w:val="auto"/>
          <w:sz w:val="32"/>
          <w:szCs w:val="32"/>
          <w:highlight w:val="none"/>
          <w:lang w:eastAsia="zh-CN"/>
        </w:rPr>
        <w:t>区</w:t>
      </w:r>
      <w:r>
        <w:rPr>
          <w:rFonts w:hint="eastAsia" w:ascii="仿宋_GB2312" w:eastAsia="仿宋_GB2312"/>
          <w:color w:val="auto"/>
          <w:sz w:val="32"/>
          <w:szCs w:val="32"/>
          <w:highlight w:val="none"/>
        </w:rPr>
        <w:t>地方一般公共预算总支出</w:t>
      </w:r>
      <w:r>
        <w:rPr>
          <w:rFonts w:hint="eastAsia" w:ascii="仿宋_GB2312" w:eastAsia="仿宋_GB2312"/>
          <w:color w:val="auto"/>
          <w:sz w:val="32"/>
          <w:szCs w:val="32"/>
          <w:highlight w:val="none"/>
          <w:lang w:val="en-US" w:eastAsia="zh-CN"/>
        </w:rPr>
        <w:t>225,530</w:t>
      </w:r>
      <w:r>
        <w:rPr>
          <w:rFonts w:hint="eastAsia" w:ascii="仿宋_GB2312" w:eastAsia="仿宋_GB2312"/>
          <w:color w:val="auto"/>
          <w:sz w:val="32"/>
          <w:szCs w:val="32"/>
          <w:highlight w:val="none"/>
          <w:lang w:eastAsia="zh-CN"/>
        </w:rPr>
        <w:t>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收支相抵，</w:t>
      </w:r>
      <w:r>
        <w:rPr>
          <w:rFonts w:hint="eastAsia" w:ascii="仿宋_GB2312" w:hAnsi="Times New Roman" w:eastAsia="仿宋_GB2312" w:cs="Times New Roman"/>
          <w:color w:val="auto"/>
          <w:sz w:val="32"/>
          <w:szCs w:val="32"/>
          <w:highlight w:val="none"/>
          <w:lang w:eastAsia="zh-CN"/>
        </w:rPr>
        <w:t>年终结余</w:t>
      </w:r>
      <w:r>
        <w:rPr>
          <w:rFonts w:hint="eastAsia" w:ascii="仿宋_GB2312" w:eastAsia="仿宋_GB2312" w:cs="Times New Roman"/>
          <w:color w:val="auto"/>
          <w:sz w:val="32"/>
          <w:szCs w:val="32"/>
          <w:highlight w:val="none"/>
          <w:lang w:val="en-US" w:eastAsia="zh-CN"/>
        </w:rPr>
        <w:t>11,088万元</w:t>
      </w:r>
      <w:r>
        <w:rPr>
          <w:rFonts w:hint="eastAsia" w:ascii="仿宋_GB2312"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firstLine="640" w:firstLineChars="200"/>
        <w:textAlignment w:val="auto"/>
        <w:rPr>
          <w:rFonts w:eastAsia="仿宋_GB2312"/>
          <w:color w:val="auto"/>
          <w:sz w:val="32"/>
          <w:szCs w:val="32"/>
          <w:highlight w:val="none"/>
        </w:rPr>
      </w:pPr>
      <w:r>
        <w:rPr>
          <w:rFonts w:hint="eastAsia" w:ascii="楷体_GB2312" w:hAnsi="楷体_GB2312" w:eastAsia="楷体_GB2312" w:cs="楷体_GB2312"/>
          <w:bCs/>
          <w:color w:val="auto"/>
          <w:sz w:val="32"/>
          <w:szCs w:val="32"/>
          <w:highlight w:val="none"/>
        </w:rPr>
        <w:t>（二）全</w:t>
      </w:r>
      <w:r>
        <w:rPr>
          <w:rFonts w:hint="eastAsia" w:ascii="楷体_GB2312" w:hAnsi="楷体_GB2312" w:eastAsia="楷体_GB2312" w:cs="楷体_GB2312"/>
          <w:bCs/>
          <w:color w:val="auto"/>
          <w:sz w:val="32"/>
          <w:szCs w:val="32"/>
          <w:highlight w:val="none"/>
          <w:lang w:eastAsia="zh-CN"/>
        </w:rPr>
        <w:t>区</w:t>
      </w:r>
      <w:r>
        <w:rPr>
          <w:rFonts w:hint="eastAsia" w:ascii="楷体_GB2312" w:hAnsi="楷体_GB2312" w:eastAsia="楷体_GB2312" w:cs="楷体_GB2312"/>
          <w:bCs/>
          <w:color w:val="auto"/>
          <w:sz w:val="32"/>
          <w:szCs w:val="32"/>
          <w:highlight w:val="none"/>
        </w:rPr>
        <w:t>政府性基金收支决算情况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全</w:t>
      </w:r>
      <w:r>
        <w:rPr>
          <w:rFonts w:hint="eastAsia" w:ascii="仿宋_GB2312" w:eastAsia="仿宋_GB2312"/>
          <w:color w:val="auto"/>
          <w:sz w:val="32"/>
          <w:szCs w:val="32"/>
          <w:highlight w:val="none"/>
        </w:rPr>
        <w:t>区政府性基金上级补助收入</w:t>
      </w:r>
      <w:r>
        <w:rPr>
          <w:rFonts w:hint="eastAsia" w:ascii="仿宋_GB2312" w:eastAsia="仿宋_GB2312"/>
          <w:color w:val="auto"/>
          <w:sz w:val="32"/>
          <w:szCs w:val="32"/>
          <w:highlight w:val="none"/>
          <w:lang w:val="en-US" w:eastAsia="zh-CN"/>
        </w:rPr>
        <w:t>104,035</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元，同比</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185.36</w:t>
      </w:r>
      <w:r>
        <w:rPr>
          <w:rFonts w:hint="eastAsia" w:ascii="仿宋_GB2312" w:eastAsia="仿宋_GB2312"/>
          <w:color w:val="auto"/>
          <w:sz w:val="32"/>
          <w:szCs w:val="32"/>
          <w:highlight w:val="none"/>
        </w:rPr>
        <w:t>%，</w:t>
      </w:r>
      <w:r>
        <w:rPr>
          <w:rFonts w:hint="eastAsia" w:ascii="仿宋_GB2312" w:hAnsi="Times New Roman" w:eastAsia="仿宋_GB2312" w:cs="Times New Roman"/>
          <w:color w:val="auto"/>
          <w:sz w:val="32"/>
          <w:szCs w:val="32"/>
          <w:highlight w:val="none"/>
          <w:lang w:val="en-US" w:eastAsia="zh-CN"/>
        </w:rPr>
        <w:t>加上债务转贷收入</w:t>
      </w:r>
      <w:r>
        <w:rPr>
          <w:rFonts w:hint="eastAsia" w:ascii="仿宋_GB2312" w:eastAsia="仿宋_GB2312" w:cs="Times New Roman"/>
          <w:color w:val="auto"/>
          <w:sz w:val="32"/>
          <w:szCs w:val="32"/>
          <w:highlight w:val="none"/>
          <w:lang w:val="en-US" w:eastAsia="zh-CN"/>
        </w:rPr>
        <w:t>33,575</w:t>
      </w:r>
      <w:r>
        <w:rPr>
          <w:rFonts w:hint="eastAsia" w:ascii="仿宋_GB2312" w:hAnsi="Times New Roman" w:eastAsia="仿宋_GB2312" w:cs="Times New Roman"/>
          <w:color w:val="auto"/>
          <w:sz w:val="32"/>
          <w:szCs w:val="32"/>
          <w:highlight w:val="none"/>
          <w:lang w:val="en-US" w:eastAsia="zh-CN"/>
        </w:rPr>
        <w:t>万元、上年结余</w:t>
      </w:r>
      <w:r>
        <w:rPr>
          <w:rFonts w:hint="eastAsia" w:ascii="仿宋_GB2312" w:eastAsia="仿宋_GB2312" w:cs="Times New Roman"/>
          <w:color w:val="auto"/>
          <w:sz w:val="32"/>
          <w:szCs w:val="32"/>
          <w:highlight w:val="none"/>
          <w:lang w:val="en-US" w:eastAsia="zh-CN"/>
        </w:rPr>
        <w:t>收入13,502</w:t>
      </w:r>
      <w:r>
        <w:rPr>
          <w:rFonts w:hint="eastAsia" w:ascii="仿宋_GB2312" w:hAnsi="Times New Roman" w:eastAsia="仿宋_GB2312" w:cs="Times New Roman"/>
          <w:color w:val="auto"/>
          <w:sz w:val="32"/>
          <w:szCs w:val="32"/>
          <w:highlight w:val="none"/>
          <w:lang w:val="en-US" w:eastAsia="zh-CN"/>
        </w:rPr>
        <w:t>万元，</w:t>
      </w:r>
      <w:r>
        <w:rPr>
          <w:rFonts w:hint="eastAsia" w:ascii="仿宋_GB2312" w:eastAsia="仿宋_GB2312"/>
          <w:color w:val="auto"/>
          <w:sz w:val="32"/>
          <w:szCs w:val="32"/>
          <w:highlight w:val="none"/>
          <w:lang w:eastAsia="zh-CN"/>
        </w:rPr>
        <w:t>全</w:t>
      </w:r>
      <w:r>
        <w:rPr>
          <w:rFonts w:hint="eastAsia" w:ascii="仿宋_GB2312" w:hAnsi="Times New Roman" w:eastAsia="仿宋_GB2312" w:cs="Times New Roman"/>
          <w:color w:val="auto"/>
          <w:sz w:val="32"/>
          <w:szCs w:val="32"/>
          <w:highlight w:val="none"/>
          <w:lang w:val="en-US" w:eastAsia="zh-CN"/>
        </w:rPr>
        <w:t>区政府性基金总收入</w:t>
      </w:r>
      <w:r>
        <w:rPr>
          <w:rFonts w:hint="eastAsia" w:ascii="仿宋_GB2312" w:eastAsia="仿宋_GB2312" w:cs="Times New Roman"/>
          <w:color w:val="auto"/>
          <w:sz w:val="32"/>
          <w:szCs w:val="32"/>
          <w:highlight w:val="none"/>
          <w:lang w:val="en-US" w:eastAsia="zh-CN"/>
        </w:rPr>
        <w:t>151,112</w:t>
      </w:r>
      <w:r>
        <w:rPr>
          <w:rFonts w:hint="eastAsia" w:ascii="仿宋_GB2312" w:hAnsi="Times New Roman" w:eastAsia="仿宋_GB2312" w:cs="Times New Roman"/>
          <w:color w:val="auto"/>
          <w:sz w:val="32"/>
          <w:szCs w:val="32"/>
          <w:highlight w:val="none"/>
          <w:lang w:val="en-US" w:eastAsia="zh-CN"/>
        </w:rPr>
        <w:t>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全区</w:t>
      </w:r>
      <w:r>
        <w:rPr>
          <w:rFonts w:hint="eastAsia" w:ascii="仿宋_GB2312" w:eastAsia="仿宋_GB2312"/>
          <w:color w:val="auto"/>
          <w:sz w:val="32"/>
          <w:szCs w:val="32"/>
          <w:highlight w:val="none"/>
          <w:lang w:eastAsia="zh-CN"/>
        </w:rPr>
        <w:t>政府性基金</w:t>
      </w:r>
      <w:r>
        <w:rPr>
          <w:rFonts w:hint="eastAsia" w:ascii="仿宋_GB2312" w:eastAsia="仿宋_GB2312"/>
          <w:color w:val="auto"/>
          <w:sz w:val="32"/>
          <w:szCs w:val="32"/>
          <w:highlight w:val="none"/>
        </w:rPr>
        <w:t>支出</w:t>
      </w:r>
      <w:r>
        <w:rPr>
          <w:rFonts w:hint="eastAsia" w:ascii="仿宋_GB2312" w:eastAsia="仿宋_GB2312"/>
          <w:color w:val="auto"/>
          <w:sz w:val="32"/>
          <w:szCs w:val="32"/>
          <w:highlight w:val="none"/>
          <w:lang w:val="en-US" w:eastAsia="zh-CN"/>
        </w:rPr>
        <w:t>139,863</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，同比增长</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收支相抵，年终结余</w:t>
      </w:r>
      <w:r>
        <w:rPr>
          <w:rFonts w:hint="eastAsia" w:ascii="仿宋_GB2312" w:eastAsia="仿宋_GB2312" w:cs="Times New Roman"/>
          <w:color w:val="auto"/>
          <w:sz w:val="32"/>
          <w:szCs w:val="32"/>
          <w:highlight w:val="none"/>
          <w:lang w:val="en-US" w:eastAsia="zh-CN"/>
        </w:rPr>
        <w:t>11,249</w:t>
      </w:r>
      <w:r>
        <w:rPr>
          <w:rFonts w:hint="eastAsia" w:ascii="仿宋_GB2312" w:hAnsi="Times New Roman" w:eastAsia="仿宋_GB2312" w:cs="Times New Roman"/>
          <w:color w:val="auto"/>
          <w:sz w:val="32"/>
          <w:szCs w:val="32"/>
          <w:highlight w:val="none"/>
          <w:lang w:val="en-US" w:eastAsia="zh-CN"/>
        </w:rPr>
        <w:t>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lang w:eastAsia="zh-CN"/>
        </w:rPr>
      </w:pPr>
      <w:r>
        <w:rPr>
          <w:rFonts w:hint="eastAsia" w:ascii="楷体_GB2312" w:hAnsi="楷体_GB2312" w:eastAsia="楷体_GB2312" w:cs="楷体_GB2312"/>
          <w:bCs/>
          <w:color w:val="auto"/>
          <w:sz w:val="32"/>
          <w:szCs w:val="32"/>
          <w:highlight w:val="none"/>
          <w:lang w:eastAsia="zh-CN"/>
        </w:rPr>
        <w:t>（三）</w:t>
      </w:r>
      <w:r>
        <w:rPr>
          <w:rFonts w:hint="eastAsia" w:ascii="楷体_GB2312" w:hAnsi="楷体_GB2312" w:eastAsia="楷体_GB2312" w:cs="楷体_GB2312"/>
          <w:bCs/>
          <w:color w:val="auto"/>
          <w:sz w:val="32"/>
          <w:szCs w:val="32"/>
          <w:highlight w:val="none"/>
        </w:rPr>
        <w:t>全区部门收支决算情况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全区部门总收入</w:t>
      </w:r>
      <w:r>
        <w:rPr>
          <w:rFonts w:hint="eastAsia" w:ascii="仿宋_GB2312" w:eastAsia="仿宋_GB2312"/>
          <w:color w:val="auto"/>
          <w:sz w:val="32"/>
          <w:szCs w:val="32"/>
          <w:highlight w:val="none"/>
          <w:lang w:val="en-US" w:eastAsia="zh-CN"/>
        </w:rPr>
        <w:t>379,775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，同比增长</w:t>
      </w:r>
      <w:r>
        <w:rPr>
          <w:rFonts w:hint="eastAsia" w:ascii="仿宋_GB2312" w:eastAsia="仿宋_GB2312"/>
          <w:color w:val="auto"/>
          <w:sz w:val="32"/>
          <w:szCs w:val="32"/>
          <w:highlight w:val="none"/>
          <w:lang w:val="en-US" w:eastAsia="zh-CN"/>
        </w:rPr>
        <w:t>16.9%</w:t>
      </w:r>
      <w:r>
        <w:rPr>
          <w:rFonts w:hint="eastAsia" w:ascii="仿宋_GB2312" w:eastAsia="仿宋_GB2312"/>
          <w:color w:val="auto"/>
          <w:sz w:val="32"/>
          <w:szCs w:val="32"/>
          <w:highlight w:val="none"/>
        </w:rPr>
        <w:t>。其中:</w:t>
      </w:r>
      <w:r>
        <w:rPr>
          <w:rFonts w:hint="eastAsia" w:ascii="仿宋_GB2312" w:eastAsia="仿宋_GB2312"/>
          <w:color w:val="auto"/>
          <w:sz w:val="32"/>
          <w:szCs w:val="32"/>
          <w:highlight w:val="none"/>
          <w:lang w:eastAsia="zh-CN"/>
        </w:rPr>
        <w:t>本</w:t>
      </w:r>
      <w:r>
        <w:rPr>
          <w:rFonts w:hint="eastAsia" w:ascii="仿宋_GB2312" w:eastAsia="仿宋_GB2312"/>
          <w:color w:val="auto"/>
          <w:sz w:val="32"/>
          <w:szCs w:val="32"/>
          <w:highlight w:val="none"/>
        </w:rPr>
        <w:t>年收入</w:t>
      </w:r>
      <w:r>
        <w:rPr>
          <w:rFonts w:hint="eastAsia" w:ascii="仿宋_GB2312" w:eastAsia="仿宋_GB2312"/>
          <w:color w:val="auto"/>
          <w:sz w:val="32"/>
          <w:szCs w:val="32"/>
          <w:highlight w:val="none"/>
          <w:lang w:val="en-US" w:eastAsia="zh-CN"/>
        </w:rPr>
        <w:t>378,936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en-US" w:eastAsia="zh-CN"/>
        </w:rPr>
        <w:t>337,098</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占部门</w:t>
      </w:r>
      <w:r>
        <w:rPr>
          <w:rFonts w:hint="eastAsia" w:ascii="仿宋_GB2312" w:eastAsia="仿宋_GB2312"/>
          <w:color w:val="auto"/>
          <w:sz w:val="32"/>
          <w:szCs w:val="32"/>
          <w:highlight w:val="none"/>
          <w:lang w:eastAsia="zh-CN"/>
        </w:rPr>
        <w:t>本</w:t>
      </w:r>
      <w:r>
        <w:rPr>
          <w:rFonts w:hint="eastAsia" w:ascii="仿宋_GB2312" w:eastAsia="仿宋_GB2312"/>
          <w:color w:val="auto"/>
          <w:sz w:val="32"/>
          <w:szCs w:val="32"/>
          <w:highlight w:val="none"/>
        </w:rPr>
        <w:t>年收入的</w:t>
      </w:r>
      <w:r>
        <w:rPr>
          <w:rFonts w:hint="eastAsia" w:ascii="仿宋_GB2312" w:eastAsia="仿宋_GB2312"/>
          <w:color w:val="auto"/>
          <w:sz w:val="32"/>
          <w:szCs w:val="32"/>
          <w:highlight w:val="none"/>
          <w:lang w:val="en-US" w:eastAsia="zh-CN"/>
        </w:rPr>
        <w:t>88.9</w:t>
      </w:r>
      <w:r>
        <w:rPr>
          <w:rFonts w:hint="eastAsia" w:ascii="仿宋_GB2312" w:eastAsia="仿宋_GB2312"/>
          <w:color w:val="auto"/>
          <w:sz w:val="32"/>
          <w:szCs w:val="32"/>
          <w:highlight w:val="none"/>
        </w:rPr>
        <w:t>%，非财政拨款收入</w:t>
      </w:r>
      <w:r>
        <w:rPr>
          <w:rFonts w:hint="eastAsia" w:ascii="仿宋_GB2312" w:eastAsia="仿宋_GB2312"/>
          <w:color w:val="auto"/>
          <w:sz w:val="32"/>
          <w:szCs w:val="32"/>
          <w:highlight w:val="none"/>
          <w:lang w:val="en-US" w:eastAsia="zh-CN"/>
        </w:rPr>
        <w:t>41,837</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占部门</w:t>
      </w:r>
      <w:r>
        <w:rPr>
          <w:rFonts w:hint="eastAsia" w:ascii="仿宋_GB2312" w:eastAsia="仿宋_GB2312"/>
          <w:color w:val="auto"/>
          <w:sz w:val="32"/>
          <w:szCs w:val="32"/>
          <w:highlight w:val="none"/>
          <w:lang w:eastAsia="zh-CN"/>
        </w:rPr>
        <w:t>本</w:t>
      </w:r>
      <w:r>
        <w:rPr>
          <w:rFonts w:hint="eastAsia" w:ascii="仿宋_GB2312" w:eastAsia="仿宋_GB2312"/>
          <w:color w:val="auto"/>
          <w:sz w:val="32"/>
          <w:szCs w:val="32"/>
          <w:highlight w:val="none"/>
        </w:rPr>
        <w:t>年收入的</w:t>
      </w:r>
      <w:r>
        <w:rPr>
          <w:rFonts w:hint="eastAsia" w:ascii="仿宋_GB2312" w:eastAsia="仿宋_GB2312"/>
          <w:color w:val="auto"/>
          <w:sz w:val="32"/>
          <w:szCs w:val="32"/>
          <w:highlight w:val="none"/>
          <w:lang w:val="en-US" w:eastAsia="zh-CN"/>
        </w:rPr>
        <w:t>11.1</w:t>
      </w:r>
      <w:r>
        <w:rPr>
          <w:rFonts w:hint="eastAsia" w:ascii="仿宋_GB2312" w:eastAsia="仿宋_GB2312"/>
          <w:color w:val="auto"/>
          <w:sz w:val="32"/>
          <w:szCs w:val="32"/>
          <w:highlight w:val="none"/>
        </w:rPr>
        <w:t>%），上年结转结余</w:t>
      </w:r>
      <w:r>
        <w:rPr>
          <w:rFonts w:hint="eastAsia" w:ascii="仿宋_GB2312" w:eastAsia="仿宋_GB2312"/>
          <w:color w:val="auto"/>
          <w:sz w:val="32"/>
          <w:szCs w:val="32"/>
          <w:highlight w:val="none"/>
          <w:lang w:val="en-US" w:eastAsia="zh-CN"/>
        </w:rPr>
        <w:t>839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kern w:val="0"/>
          <w:sz w:val="32"/>
          <w:szCs w:val="32"/>
          <w:highlight w:val="none"/>
        </w:rPr>
      </w:pPr>
      <w:r>
        <w:rPr>
          <w:rFonts w:hint="eastAsia" w:ascii="仿宋_GB2312" w:eastAsia="仿宋_GB2312"/>
          <w:color w:val="auto"/>
          <w:sz w:val="32"/>
          <w:szCs w:val="32"/>
          <w:highlight w:val="none"/>
          <w:lang w:eastAsia="zh-CN"/>
        </w:rPr>
        <w:t>全区部门本年支出</w:t>
      </w:r>
      <w:r>
        <w:rPr>
          <w:rFonts w:hint="eastAsia" w:ascii="仿宋_GB2312" w:eastAsia="仿宋_GB2312"/>
          <w:color w:val="auto"/>
          <w:sz w:val="32"/>
          <w:szCs w:val="32"/>
          <w:highlight w:val="none"/>
          <w:lang w:val="en-US" w:eastAsia="zh-CN"/>
        </w:rPr>
        <w:t>378,936</w:t>
      </w:r>
      <w:r>
        <w:rPr>
          <w:rFonts w:hint="eastAsia" w:ascii="仿宋_GB2312" w:eastAsia="仿宋_GB2312"/>
          <w:color w:val="auto"/>
          <w:sz w:val="32"/>
          <w:szCs w:val="32"/>
          <w:highlight w:val="none"/>
          <w:lang w:eastAsia="zh-CN"/>
        </w:rPr>
        <w:t>万元，同比增长</w:t>
      </w:r>
      <w:r>
        <w:rPr>
          <w:rFonts w:hint="eastAsia" w:ascii="仿宋_GB2312" w:eastAsia="仿宋_GB2312"/>
          <w:color w:val="auto"/>
          <w:sz w:val="32"/>
          <w:szCs w:val="32"/>
          <w:highlight w:val="none"/>
          <w:lang w:val="en-US" w:eastAsia="zh-CN"/>
        </w:rPr>
        <w:t>16.9%</w:t>
      </w:r>
      <w:r>
        <w:rPr>
          <w:rFonts w:hint="eastAsia" w:ascii="仿宋_GB2312" w:eastAsia="仿宋_GB2312"/>
          <w:color w:val="auto"/>
          <w:sz w:val="32"/>
          <w:szCs w:val="32"/>
          <w:highlight w:val="none"/>
          <w:lang w:eastAsia="zh-CN"/>
        </w:rPr>
        <w:t>。其中：基本支出</w:t>
      </w:r>
      <w:r>
        <w:rPr>
          <w:rFonts w:hint="eastAsia" w:ascii="仿宋_GB2312" w:eastAsia="仿宋_GB2312"/>
          <w:color w:val="auto"/>
          <w:sz w:val="32"/>
          <w:szCs w:val="32"/>
          <w:highlight w:val="none"/>
          <w:lang w:val="en-US" w:eastAsia="zh-CN"/>
        </w:rPr>
        <w:t>52,306</w:t>
      </w:r>
      <w:r>
        <w:rPr>
          <w:rFonts w:hint="eastAsia" w:ascii="仿宋_GB2312" w:eastAsia="仿宋_GB2312"/>
          <w:color w:val="auto"/>
          <w:sz w:val="32"/>
          <w:szCs w:val="32"/>
          <w:highlight w:val="none"/>
          <w:lang w:eastAsia="zh-CN"/>
        </w:rPr>
        <w:t>万元，占本年支出的</w:t>
      </w:r>
      <w:r>
        <w:rPr>
          <w:rFonts w:hint="eastAsia" w:ascii="仿宋_GB2312" w:eastAsia="仿宋_GB2312"/>
          <w:color w:val="auto"/>
          <w:sz w:val="32"/>
          <w:szCs w:val="32"/>
          <w:highlight w:val="none"/>
          <w:lang w:val="en-US" w:eastAsia="zh-CN"/>
        </w:rPr>
        <w:t>13.8</w:t>
      </w:r>
      <w:r>
        <w:rPr>
          <w:rFonts w:hint="eastAsia" w:ascii="仿宋_GB2312" w:eastAsia="仿宋_GB2312"/>
          <w:color w:val="auto"/>
          <w:sz w:val="32"/>
          <w:szCs w:val="32"/>
          <w:highlight w:val="none"/>
          <w:lang w:eastAsia="zh-CN"/>
        </w:rPr>
        <w:t>%，项目支出</w:t>
      </w:r>
      <w:r>
        <w:rPr>
          <w:rFonts w:hint="eastAsia" w:ascii="仿宋_GB2312" w:eastAsia="仿宋_GB2312"/>
          <w:color w:val="auto"/>
          <w:sz w:val="32"/>
          <w:szCs w:val="32"/>
          <w:highlight w:val="none"/>
          <w:lang w:val="en-US" w:eastAsia="zh-CN"/>
        </w:rPr>
        <w:t>326,630</w:t>
      </w:r>
      <w:r>
        <w:rPr>
          <w:rFonts w:hint="eastAsia" w:ascii="仿宋_GB2312" w:eastAsia="仿宋_GB2312"/>
          <w:color w:val="auto"/>
          <w:sz w:val="32"/>
          <w:szCs w:val="32"/>
          <w:highlight w:val="none"/>
          <w:lang w:eastAsia="zh-CN"/>
        </w:rPr>
        <w:t>万元，占本年支出的</w:t>
      </w:r>
      <w:r>
        <w:rPr>
          <w:rFonts w:hint="eastAsia" w:ascii="仿宋_GB2312" w:eastAsia="仿宋_GB2312"/>
          <w:color w:val="auto"/>
          <w:sz w:val="32"/>
          <w:szCs w:val="32"/>
          <w:highlight w:val="none"/>
          <w:lang w:val="en-US" w:eastAsia="zh-CN"/>
        </w:rPr>
        <w:t>86.2</w:t>
      </w:r>
      <w:r>
        <w:rPr>
          <w:rFonts w:hint="eastAsia" w:ascii="仿宋_GB2312" w:eastAsia="仿宋_GB2312"/>
          <w:color w:val="auto"/>
          <w:sz w:val="32"/>
          <w:szCs w:val="32"/>
          <w:highlight w:val="none"/>
          <w:lang w:eastAsia="zh-CN"/>
        </w:rPr>
        <w:t>%。年末结转结余</w:t>
      </w:r>
      <w:r>
        <w:rPr>
          <w:rFonts w:hint="eastAsia" w:ascii="仿宋_GB2312" w:eastAsia="仿宋_GB2312"/>
          <w:color w:val="auto"/>
          <w:sz w:val="32"/>
          <w:szCs w:val="32"/>
          <w:highlight w:val="none"/>
          <w:lang w:val="en-US" w:eastAsia="zh-CN"/>
        </w:rPr>
        <w:t>839</w:t>
      </w:r>
      <w:r>
        <w:rPr>
          <w:rFonts w:hint="eastAsia" w:ascii="仿宋_GB2312" w:eastAsia="仿宋_GB2312"/>
          <w:color w:val="auto"/>
          <w:sz w:val="32"/>
          <w:szCs w:val="32"/>
          <w:highlight w:val="none"/>
          <w:lang w:eastAsia="zh-CN"/>
        </w:rPr>
        <w:t>万</w:t>
      </w:r>
      <w:r>
        <w:rPr>
          <w:rFonts w:hint="eastAsia" w:ascii="仿宋_GB2312" w:eastAsia="仿宋_GB2312"/>
          <w:color w:val="auto"/>
          <w:sz w:val="32"/>
          <w:szCs w:val="32"/>
          <w:highlight w:val="none"/>
        </w:rPr>
        <w:t>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w:t>
      </w:r>
      <w:r>
        <w:rPr>
          <w:rFonts w:hint="eastAsia" w:ascii="楷体_GB2312" w:hAnsi="楷体_GB2312" w:eastAsia="楷体_GB2312" w:cs="楷体_GB2312"/>
          <w:bCs/>
          <w:color w:val="auto"/>
          <w:sz w:val="32"/>
          <w:szCs w:val="32"/>
          <w:highlight w:val="none"/>
          <w:lang w:eastAsia="zh-CN"/>
        </w:rPr>
        <w:t>四</w:t>
      </w:r>
      <w:r>
        <w:rPr>
          <w:rFonts w:hint="eastAsia" w:ascii="楷体_GB2312" w:hAnsi="楷体_GB2312" w:eastAsia="楷体_GB2312" w:cs="楷体_GB2312"/>
          <w:bCs/>
          <w:color w:val="auto"/>
          <w:sz w:val="32"/>
          <w:szCs w:val="32"/>
          <w:highlight w:val="none"/>
        </w:rPr>
        <w:t>）“三公”经费决算情况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年，全区“三公”经费支出</w:t>
      </w:r>
      <w:r>
        <w:rPr>
          <w:rFonts w:hint="eastAsia" w:ascii="仿宋_GB2312" w:hAnsi="仿宋_GB2312" w:eastAsia="仿宋_GB2312" w:cs="仿宋_GB2312"/>
          <w:color w:val="auto"/>
          <w:sz w:val="32"/>
          <w:szCs w:val="32"/>
          <w:highlight w:val="none"/>
          <w:lang w:val="en-US" w:eastAsia="zh-CN"/>
        </w:rPr>
        <w:t>31.97</w:t>
      </w:r>
      <w:r>
        <w:rPr>
          <w:rFonts w:hint="eastAsia" w:ascii="仿宋_GB2312" w:hAnsi="仿宋_GB2312" w:eastAsia="仿宋_GB2312" w:cs="仿宋_GB2312"/>
          <w:color w:val="auto"/>
          <w:sz w:val="32"/>
          <w:szCs w:val="32"/>
          <w:highlight w:val="none"/>
        </w:rPr>
        <w:t>万元，比</w:t>
      </w:r>
      <w:r>
        <w:rPr>
          <w:rFonts w:hint="eastAsia" w:ascii="仿宋_GB2312" w:hAnsi="仿宋_GB2312" w:eastAsia="仿宋_GB2312" w:cs="仿宋_GB2312"/>
          <w:color w:val="auto"/>
          <w:sz w:val="32"/>
          <w:szCs w:val="32"/>
          <w:highlight w:val="none"/>
          <w:lang w:eastAsia="zh-CN"/>
        </w:rPr>
        <w:t>上</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增加</w:t>
      </w:r>
      <w:r>
        <w:rPr>
          <w:rFonts w:hint="eastAsia" w:ascii="仿宋_GB2312" w:hAnsi="仿宋_GB2312" w:eastAsia="仿宋_GB2312" w:cs="仿宋_GB2312"/>
          <w:color w:val="auto"/>
          <w:sz w:val="32"/>
          <w:szCs w:val="32"/>
          <w:highlight w:val="none"/>
          <w:lang w:val="en-US" w:eastAsia="zh-CN"/>
        </w:rPr>
        <w:t>3.51</w:t>
      </w:r>
      <w:r>
        <w:rPr>
          <w:rFonts w:hint="eastAsia" w:ascii="仿宋_GB2312" w:eastAsia="仿宋_GB2312"/>
          <w:color w:val="auto"/>
          <w:sz w:val="32"/>
          <w:szCs w:val="32"/>
          <w:highlight w:val="none"/>
          <w:lang w:eastAsia="zh-CN"/>
        </w:rPr>
        <w:t>万元，同比增长</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lang w:eastAsia="zh-CN"/>
        </w:rPr>
        <w:t>%，未超过本年预算安排数</w:t>
      </w:r>
      <w:r>
        <w:rPr>
          <w:rFonts w:hint="eastAsia" w:ascii="仿宋_GB2312" w:eastAsia="仿宋_GB2312"/>
          <w:color w:val="auto"/>
          <w:sz w:val="32"/>
          <w:szCs w:val="32"/>
          <w:highlight w:val="none"/>
          <w:lang w:val="en-US" w:eastAsia="zh-CN"/>
        </w:rPr>
        <w:t>111.89</w:t>
      </w:r>
      <w:r>
        <w:rPr>
          <w:rFonts w:hint="eastAsia" w:ascii="仿宋_GB2312" w:eastAsia="仿宋_GB2312"/>
          <w:color w:val="auto"/>
          <w:sz w:val="32"/>
          <w:szCs w:val="32"/>
          <w:highlight w:val="none"/>
          <w:lang w:eastAsia="zh-CN"/>
        </w:rPr>
        <w:t>万元。其中</w:t>
      </w:r>
      <w:r>
        <w:rPr>
          <w:rFonts w:hint="eastAsia" w:ascii="仿宋_GB2312" w:hAnsi="仿宋_GB2312" w:eastAsia="仿宋_GB2312" w:cs="仿宋_GB2312"/>
          <w:color w:val="auto"/>
          <w:sz w:val="32"/>
          <w:szCs w:val="32"/>
          <w:highlight w:val="none"/>
        </w:rPr>
        <w:t>：因公出国（境）经费支出</w:t>
      </w:r>
      <w:r>
        <w:rPr>
          <w:rFonts w:hint="eastAsia" w:ascii="仿宋_GB2312" w:hAnsi="仿宋_GB2312" w:eastAsia="仿宋_GB2312" w:cs="仿宋_GB2312"/>
          <w:color w:val="auto"/>
          <w:sz w:val="32"/>
          <w:szCs w:val="32"/>
          <w:highlight w:val="none"/>
          <w:lang w:val="en-US" w:eastAsia="zh-CN"/>
        </w:rPr>
        <w:t>9.52万</w:t>
      </w:r>
      <w:r>
        <w:rPr>
          <w:rFonts w:hint="eastAsia" w:ascii="仿宋_GB2312" w:hAnsi="仿宋_GB2312" w:eastAsia="仿宋_GB2312" w:cs="仿宋_GB2312"/>
          <w:color w:val="auto"/>
          <w:sz w:val="32"/>
          <w:szCs w:val="32"/>
          <w:highlight w:val="none"/>
        </w:rPr>
        <w:t>元、公务用车运行维护费支出</w:t>
      </w:r>
      <w:r>
        <w:rPr>
          <w:rFonts w:hint="eastAsia" w:ascii="仿宋_GB2312" w:hAnsi="仿宋_GB2312" w:eastAsia="仿宋_GB2312" w:cs="仿宋_GB2312"/>
          <w:color w:val="auto"/>
          <w:sz w:val="32"/>
          <w:szCs w:val="32"/>
          <w:highlight w:val="none"/>
          <w:lang w:val="en-US" w:eastAsia="zh-CN"/>
        </w:rPr>
        <w:t>19.66</w:t>
      </w:r>
      <w:r>
        <w:rPr>
          <w:rFonts w:hint="eastAsia" w:ascii="仿宋_GB2312" w:hAnsi="仿宋_GB2312" w:eastAsia="仿宋_GB2312" w:cs="仿宋_GB2312"/>
          <w:color w:val="auto"/>
          <w:sz w:val="32"/>
          <w:szCs w:val="32"/>
          <w:highlight w:val="none"/>
        </w:rPr>
        <w:t>万元、公务接待费支出</w:t>
      </w:r>
      <w:r>
        <w:rPr>
          <w:rFonts w:hint="eastAsia" w:ascii="仿宋_GB2312" w:hAnsi="仿宋_GB2312" w:eastAsia="仿宋_GB2312" w:cs="仿宋_GB2312"/>
          <w:color w:val="auto"/>
          <w:sz w:val="32"/>
          <w:szCs w:val="32"/>
          <w:highlight w:val="none"/>
          <w:lang w:val="en-US" w:eastAsia="zh-CN"/>
        </w:rPr>
        <w:t>2.79</w:t>
      </w:r>
      <w:r>
        <w:rPr>
          <w:rFonts w:hint="eastAsia" w:ascii="仿宋_GB2312" w:hAnsi="仿宋_GB2312" w:eastAsia="仿宋_GB2312" w:cs="仿宋_GB2312"/>
          <w:color w:val="auto"/>
          <w:sz w:val="32"/>
          <w:szCs w:val="32"/>
          <w:highlight w:val="none"/>
        </w:rPr>
        <w:t>万元。</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lang w:eastAsia="zh-CN"/>
        </w:rPr>
      </w:pPr>
      <w:r>
        <w:rPr>
          <w:rFonts w:hint="eastAsia" w:ascii="楷体_GB2312" w:hAnsi="楷体_GB2312" w:eastAsia="楷体_GB2312" w:cs="楷体_GB2312"/>
          <w:bCs/>
          <w:color w:val="auto"/>
          <w:sz w:val="32"/>
          <w:szCs w:val="32"/>
          <w:highlight w:val="none"/>
          <w:lang w:eastAsia="zh-CN"/>
        </w:rPr>
        <w:t>（五）全区地方政府性债务情况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color w:val="auto"/>
          <w:highlight w:val="none"/>
        </w:rPr>
      </w:pPr>
      <w:r>
        <w:rPr>
          <w:rFonts w:hint="eastAsia" w:ascii="仿宋_GB2312" w:eastAsia="仿宋_GB2312"/>
          <w:color w:val="auto"/>
          <w:sz w:val="32"/>
          <w:szCs w:val="32"/>
          <w:highlight w:val="none"/>
          <w:lang w:eastAsia="zh-CN"/>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年末，全区地方政府性债务余额</w:t>
      </w:r>
      <w:r>
        <w:rPr>
          <w:rFonts w:hint="eastAsia" w:ascii="仿宋_GB2312" w:eastAsia="仿宋_GB2312"/>
          <w:color w:val="auto"/>
          <w:sz w:val="32"/>
          <w:szCs w:val="32"/>
          <w:highlight w:val="none"/>
          <w:lang w:val="en-US" w:eastAsia="zh-CN"/>
        </w:rPr>
        <w:t>172,256万元</w:t>
      </w:r>
      <w:r>
        <w:rPr>
          <w:rFonts w:hint="eastAsia" w:ascii="仿宋_GB2312" w:eastAsia="仿宋_GB2312"/>
          <w:color w:val="auto"/>
          <w:sz w:val="32"/>
          <w:szCs w:val="32"/>
          <w:highlight w:val="none"/>
          <w:lang w:eastAsia="zh-CN"/>
        </w:rPr>
        <w:t>。其中:一般债务</w:t>
      </w:r>
      <w:r>
        <w:rPr>
          <w:rFonts w:hint="eastAsia" w:ascii="仿宋_GB2312" w:eastAsia="仿宋_GB2312"/>
          <w:color w:val="auto"/>
          <w:sz w:val="32"/>
          <w:szCs w:val="32"/>
          <w:highlight w:val="none"/>
          <w:lang w:val="en-US" w:eastAsia="zh-CN"/>
        </w:rPr>
        <w:t>48,828万</w:t>
      </w:r>
      <w:r>
        <w:rPr>
          <w:rFonts w:hint="eastAsia" w:ascii="仿宋_GB2312" w:eastAsia="仿宋_GB2312"/>
          <w:color w:val="auto"/>
          <w:sz w:val="32"/>
          <w:szCs w:val="32"/>
          <w:highlight w:val="none"/>
          <w:lang w:eastAsia="zh-CN"/>
        </w:rPr>
        <w:t>元，专项债务</w:t>
      </w:r>
      <w:r>
        <w:rPr>
          <w:rFonts w:hint="eastAsia" w:ascii="仿宋_GB2312" w:eastAsia="仿宋_GB2312"/>
          <w:color w:val="auto"/>
          <w:sz w:val="32"/>
          <w:szCs w:val="32"/>
          <w:highlight w:val="none"/>
          <w:lang w:val="en-US" w:eastAsia="zh-CN"/>
        </w:rPr>
        <w:t>123,428</w:t>
      </w:r>
      <w:r>
        <w:rPr>
          <w:rFonts w:hint="eastAsia" w:ascii="仿宋_GB2312" w:eastAsia="仿宋_GB2312"/>
          <w:color w:val="auto"/>
          <w:sz w:val="32"/>
          <w:szCs w:val="32"/>
          <w:highlight w:val="none"/>
          <w:lang w:eastAsia="zh-CN"/>
        </w:rPr>
        <w:t>万元。政府性债务偿还支出已纳入市级预算管理，在一般公共预算和政府性基金预算中足额安排。202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年度可用综合财力</w:t>
      </w:r>
      <w:r>
        <w:rPr>
          <w:rFonts w:hint="eastAsia" w:ascii="仿宋_GB2312" w:eastAsia="仿宋_GB2312"/>
          <w:color w:val="auto"/>
          <w:sz w:val="32"/>
          <w:szCs w:val="32"/>
          <w:highlight w:val="none"/>
          <w:lang w:val="en-US" w:eastAsia="zh-CN"/>
        </w:rPr>
        <w:t>339,676</w:t>
      </w:r>
      <w:r>
        <w:rPr>
          <w:rFonts w:hint="eastAsia" w:ascii="仿宋_GB2312" w:eastAsia="仿宋_GB2312"/>
          <w:color w:val="auto"/>
          <w:sz w:val="32"/>
          <w:szCs w:val="32"/>
          <w:highlight w:val="none"/>
          <w:lang w:eastAsia="zh-CN"/>
        </w:rPr>
        <w:t>万元，政府债务率为</w:t>
      </w:r>
      <w:r>
        <w:rPr>
          <w:rFonts w:hint="eastAsia" w:ascii="仿宋_GB2312" w:eastAsia="仿宋_GB2312"/>
          <w:color w:val="auto"/>
          <w:sz w:val="32"/>
          <w:szCs w:val="32"/>
          <w:highlight w:val="none"/>
          <w:lang w:val="en-US" w:eastAsia="zh-CN"/>
        </w:rPr>
        <w:t>51</w:t>
      </w:r>
      <w:r>
        <w:rPr>
          <w:rFonts w:hint="eastAsia" w:ascii="仿宋_GB2312" w:eastAsia="仿宋_GB2312"/>
          <w:color w:val="auto"/>
          <w:sz w:val="32"/>
          <w:szCs w:val="32"/>
          <w:highlight w:val="none"/>
          <w:lang w:eastAsia="zh-CN"/>
        </w:rPr>
        <w:t>%，政府债务风险等级评定为绿色(</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≤绿色等级债务率&lt;120% )。</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color w:val="auto"/>
          <w:highlight w:val="none"/>
        </w:rPr>
      </w:pPr>
      <w:r>
        <w:rPr>
          <w:rFonts w:hint="eastAsia" w:ascii="黑体" w:hAnsi="黑体" w:eastAsia="黑体" w:cs="黑体"/>
          <w:color w:val="auto"/>
          <w:sz w:val="32"/>
          <w:szCs w:val="32"/>
          <w:highlight w:val="none"/>
        </w:rPr>
        <w:t>二、</w:t>
      </w:r>
      <w:r>
        <w:rPr>
          <w:rFonts w:hint="eastAsia" w:ascii="黑体" w:hAnsi="黑体" w:eastAsia="黑体" w:cs="黑体"/>
          <w:color w:val="auto"/>
          <w:sz w:val="32"/>
          <w:szCs w:val="32"/>
          <w:highlight w:val="none"/>
          <w:lang w:val="en-US" w:eastAsia="zh-CN"/>
        </w:rPr>
        <w:t>2024</w:t>
      </w:r>
      <w:r>
        <w:rPr>
          <w:rFonts w:hint="eastAsia" w:ascii="黑体" w:hAnsi="黑体" w:eastAsia="黑体" w:cs="黑体"/>
          <w:color w:val="auto"/>
          <w:sz w:val="32"/>
          <w:szCs w:val="32"/>
          <w:highlight w:val="none"/>
        </w:rPr>
        <w:t>年上半年财政预算执行总体情况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（一）一般公共预算收支情况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shd w:val="clear" w:color="FFFFFF" w:fill="D9D9D9"/>
          <w:lang w:val="zh-CN"/>
        </w:rPr>
      </w:pPr>
      <w:r>
        <w:rPr>
          <w:rFonts w:hint="eastAsia" w:ascii="仿宋_GB2312" w:hAnsi="仿宋_GB2312" w:eastAsia="仿宋_GB2312" w:cs="仿宋_GB2312"/>
          <w:color w:val="auto"/>
          <w:sz w:val="32"/>
          <w:szCs w:val="32"/>
          <w:highlight w:val="none"/>
          <w:shd w:val="clear" w:color="auto" w:fill="auto"/>
        </w:rPr>
        <w:t>上半年，全区</w:t>
      </w:r>
      <w:r>
        <w:rPr>
          <w:rFonts w:hint="eastAsia" w:ascii="仿宋_GB2312" w:hAnsi="仿宋_GB2312" w:eastAsia="仿宋_GB2312" w:cs="仿宋_GB2312"/>
          <w:color w:val="auto"/>
          <w:sz w:val="32"/>
          <w:szCs w:val="32"/>
          <w:highlight w:val="none"/>
          <w:shd w:val="clear" w:color="auto" w:fill="auto"/>
          <w:lang w:eastAsia="zh-CN"/>
        </w:rPr>
        <w:t>地方</w:t>
      </w:r>
      <w:r>
        <w:rPr>
          <w:rFonts w:hint="eastAsia" w:ascii="仿宋_GB2312" w:hAnsi="仿宋_GB2312" w:eastAsia="仿宋_GB2312" w:cs="仿宋_GB2312"/>
          <w:color w:val="auto"/>
          <w:sz w:val="32"/>
          <w:szCs w:val="32"/>
          <w:highlight w:val="none"/>
          <w:shd w:val="clear" w:color="auto" w:fill="auto"/>
        </w:rPr>
        <w:t>一般公共预算收入</w:t>
      </w:r>
      <w:r>
        <w:rPr>
          <w:rFonts w:hint="eastAsia" w:ascii="仿宋_GB2312" w:hAnsi="仿宋_GB2312" w:eastAsia="仿宋_GB2312" w:cs="仿宋_GB2312"/>
          <w:color w:val="auto"/>
          <w:sz w:val="32"/>
          <w:szCs w:val="32"/>
          <w:highlight w:val="none"/>
          <w:shd w:val="clear" w:color="auto" w:fill="auto"/>
          <w:lang w:val="en-US" w:eastAsia="zh-CN"/>
        </w:rPr>
        <w:t>89,744</w:t>
      </w:r>
      <w:r>
        <w:rPr>
          <w:rFonts w:hint="eastAsia" w:ascii="仿宋_GB2312" w:hAnsi="仿宋_GB2312" w:eastAsia="仿宋_GB2312" w:cs="仿宋_GB2312"/>
          <w:color w:val="auto"/>
          <w:sz w:val="32"/>
          <w:szCs w:val="32"/>
          <w:highlight w:val="none"/>
          <w:shd w:val="clear" w:color="auto" w:fill="auto"/>
          <w:lang w:val="zh-CN"/>
        </w:rPr>
        <w:t>万元</w:t>
      </w:r>
      <w:r>
        <w:rPr>
          <w:rFonts w:hint="eastAsia" w:ascii="仿宋_GB2312" w:hAnsi="仿宋_GB2312" w:eastAsia="仿宋_GB2312" w:cs="仿宋_GB2312"/>
          <w:color w:val="auto"/>
          <w:sz w:val="32"/>
          <w:szCs w:val="32"/>
          <w:highlight w:val="none"/>
          <w:shd w:val="clear" w:color="auto" w:fill="auto"/>
        </w:rPr>
        <w:t>，同比</w:t>
      </w:r>
      <w:r>
        <w:rPr>
          <w:rFonts w:hint="eastAsia" w:ascii="仿宋_GB2312" w:hAnsi="仿宋_GB2312" w:eastAsia="仿宋_GB2312" w:cs="仿宋_GB2312"/>
          <w:color w:val="auto"/>
          <w:sz w:val="32"/>
          <w:szCs w:val="32"/>
          <w:highlight w:val="none"/>
          <w:shd w:val="clear" w:color="auto" w:fill="auto"/>
          <w:lang w:val="en-US" w:eastAsia="zh-CN"/>
        </w:rPr>
        <w:t>下降6.2</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eastAsia="zh-CN"/>
        </w:rPr>
        <w:t>，完成年初预算</w:t>
      </w:r>
      <w:r>
        <w:rPr>
          <w:rFonts w:hint="eastAsia" w:ascii="仿宋_GB2312" w:hAnsi="仿宋_GB2312" w:eastAsia="仿宋_GB2312" w:cs="仿宋_GB2312"/>
          <w:color w:val="auto"/>
          <w:sz w:val="32"/>
          <w:szCs w:val="32"/>
          <w:highlight w:val="none"/>
          <w:shd w:val="clear" w:color="auto" w:fill="auto"/>
          <w:lang w:val="en-US" w:eastAsia="zh-CN"/>
        </w:rPr>
        <w:t>52.3%</w:t>
      </w:r>
      <w:r>
        <w:rPr>
          <w:rFonts w:hint="eastAsia" w:ascii="仿宋_GB2312" w:hAnsi="仿宋_GB2312" w:eastAsia="仿宋_GB2312" w:cs="仿宋_GB2312"/>
          <w:color w:val="auto"/>
          <w:sz w:val="32"/>
          <w:szCs w:val="32"/>
          <w:highlight w:val="none"/>
          <w:shd w:val="clear" w:color="auto" w:fill="auto"/>
          <w:lang w:eastAsia="zh-CN"/>
        </w:rPr>
        <w:t>。其中：</w:t>
      </w:r>
      <w:r>
        <w:rPr>
          <w:rFonts w:hint="eastAsia" w:ascii="仿宋_GB2312" w:hAnsi="仿宋_GB2312" w:eastAsia="仿宋_GB2312" w:cs="仿宋_GB2312"/>
          <w:color w:val="auto"/>
          <w:sz w:val="32"/>
          <w:szCs w:val="32"/>
          <w:highlight w:val="none"/>
          <w:shd w:val="clear" w:color="auto" w:fill="auto"/>
          <w:lang w:val="zh-CN"/>
        </w:rPr>
        <w:t>区级分享税收收入</w:t>
      </w:r>
      <w:r>
        <w:rPr>
          <w:rFonts w:hint="eastAsia" w:ascii="仿宋_GB2312" w:hAnsi="仿宋_GB2312" w:eastAsia="仿宋_GB2312" w:cs="仿宋_GB2312"/>
          <w:color w:val="auto"/>
          <w:sz w:val="32"/>
          <w:szCs w:val="32"/>
          <w:highlight w:val="none"/>
          <w:shd w:val="clear" w:color="auto" w:fill="auto"/>
          <w:lang w:val="en-US" w:eastAsia="zh-CN"/>
        </w:rPr>
        <w:t>88,784万</w:t>
      </w:r>
      <w:r>
        <w:rPr>
          <w:rFonts w:hint="eastAsia" w:ascii="仿宋_GB2312" w:hAnsi="仿宋_GB2312" w:eastAsia="仿宋_GB2312" w:cs="仿宋_GB2312"/>
          <w:color w:val="auto"/>
          <w:sz w:val="32"/>
          <w:szCs w:val="32"/>
          <w:highlight w:val="none"/>
          <w:shd w:val="clear" w:color="auto" w:fill="auto"/>
          <w:lang w:val="zh-CN"/>
        </w:rPr>
        <w:t>元，同比下降</w:t>
      </w:r>
      <w:r>
        <w:rPr>
          <w:rFonts w:hint="eastAsia" w:ascii="仿宋_GB2312" w:hAnsi="仿宋_GB2312" w:eastAsia="仿宋_GB2312" w:cs="仿宋_GB2312"/>
          <w:color w:val="auto"/>
          <w:sz w:val="32"/>
          <w:szCs w:val="32"/>
          <w:highlight w:val="none"/>
          <w:shd w:val="clear" w:color="auto" w:fill="auto"/>
          <w:lang w:val="en-US" w:eastAsia="zh-CN"/>
        </w:rPr>
        <w:t>5.9</w:t>
      </w:r>
      <w:r>
        <w:rPr>
          <w:rFonts w:hint="eastAsia" w:ascii="仿宋_GB2312" w:hAnsi="仿宋" w:eastAsia="仿宋_GB2312"/>
          <w:color w:val="auto"/>
          <w:sz w:val="32"/>
          <w:szCs w:val="32"/>
          <w:highlight w:val="none"/>
          <w:shd w:val="clear" w:color="auto" w:fill="auto"/>
        </w:rPr>
        <w:t>%</w:t>
      </w:r>
      <w:r>
        <w:rPr>
          <w:rFonts w:hint="eastAsia" w:ascii="仿宋_GB2312" w:hAnsi="仿宋" w:eastAsia="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zh-CN" w:eastAsia="zh-CN"/>
        </w:rPr>
        <w:t>完成年初预算</w:t>
      </w:r>
      <w:r>
        <w:rPr>
          <w:rFonts w:hint="eastAsia" w:ascii="仿宋_GB2312" w:hAnsi="仿宋_GB2312" w:eastAsia="仿宋_GB2312" w:cs="仿宋_GB2312"/>
          <w:color w:val="auto"/>
          <w:sz w:val="32"/>
          <w:szCs w:val="32"/>
          <w:highlight w:val="none"/>
          <w:shd w:val="clear" w:color="auto" w:fill="auto"/>
          <w:lang w:val="en-US" w:eastAsia="zh-CN"/>
        </w:rPr>
        <w:t>52.7</w:t>
      </w:r>
      <w:r>
        <w:rPr>
          <w:rFonts w:hint="eastAsia" w:ascii="仿宋_GB2312" w:hAnsi="仿宋_GB2312" w:eastAsia="仿宋_GB2312" w:cs="仿宋_GB2312"/>
          <w:color w:val="auto"/>
          <w:sz w:val="32"/>
          <w:szCs w:val="32"/>
          <w:highlight w:val="none"/>
          <w:shd w:val="clear" w:color="auto" w:fill="auto"/>
          <w:lang w:val="zh-CN" w:eastAsia="zh-CN"/>
        </w:rPr>
        <w:t>%，超序时进度</w:t>
      </w:r>
      <w:r>
        <w:rPr>
          <w:rFonts w:hint="eastAsia" w:ascii="仿宋_GB2312" w:hAnsi="仿宋_GB2312" w:eastAsia="仿宋_GB2312" w:cs="仿宋_GB2312"/>
          <w:color w:val="auto"/>
          <w:sz w:val="32"/>
          <w:szCs w:val="32"/>
          <w:highlight w:val="none"/>
          <w:shd w:val="clear" w:color="auto" w:fill="auto"/>
          <w:lang w:val="en-US" w:eastAsia="zh-CN"/>
        </w:rPr>
        <w:t>2.7个百分点</w:t>
      </w:r>
      <w:r>
        <w:rPr>
          <w:rFonts w:hint="eastAsia" w:ascii="仿宋_GB2312" w:hAnsi="仿宋" w:eastAsia="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zh-CN" w:eastAsia="zh-CN"/>
        </w:rPr>
        <w:t>非税收入</w:t>
      </w:r>
      <w:r>
        <w:rPr>
          <w:rFonts w:hint="eastAsia" w:ascii="仿宋_GB2312" w:hAnsi="仿宋_GB2312" w:eastAsia="仿宋_GB2312" w:cs="仿宋_GB2312"/>
          <w:color w:val="auto"/>
          <w:sz w:val="32"/>
          <w:szCs w:val="32"/>
          <w:highlight w:val="none"/>
          <w:shd w:val="clear" w:color="auto" w:fill="auto"/>
          <w:lang w:val="en-US" w:eastAsia="zh-CN"/>
        </w:rPr>
        <w:t>960</w:t>
      </w:r>
      <w:r>
        <w:rPr>
          <w:rFonts w:hint="eastAsia" w:ascii="仿宋_GB2312" w:hAnsi="仿宋_GB2312" w:eastAsia="仿宋_GB2312" w:cs="仿宋_GB2312"/>
          <w:color w:val="auto"/>
          <w:sz w:val="32"/>
          <w:szCs w:val="32"/>
          <w:highlight w:val="none"/>
          <w:shd w:val="clear" w:color="auto" w:fill="auto"/>
          <w:lang w:val="zh-CN" w:eastAsia="zh-CN"/>
        </w:rPr>
        <w:t>万元</w:t>
      </w:r>
      <w:r>
        <w:rPr>
          <w:rFonts w:hint="eastAsia" w:ascii="仿宋_GB2312" w:hAnsi="仿宋_GB2312" w:eastAsia="仿宋_GB2312" w:cs="仿宋_GB2312"/>
          <w:color w:val="auto"/>
          <w:sz w:val="32"/>
          <w:szCs w:val="32"/>
          <w:highlight w:val="none"/>
          <w:shd w:val="clear" w:color="auto" w:fill="auto"/>
          <w:lang w:val="en-US" w:eastAsia="zh-CN"/>
        </w:rPr>
        <w:t>,同比下降22.9%</w:t>
      </w:r>
      <w:r>
        <w:rPr>
          <w:rFonts w:hint="eastAsia" w:ascii="仿宋_GB2312" w:hAnsi="仿宋_GB2312" w:eastAsia="仿宋_GB2312" w:cs="仿宋_GB2312"/>
          <w:color w:val="auto"/>
          <w:sz w:val="32"/>
          <w:szCs w:val="32"/>
          <w:highlight w:val="none"/>
          <w:shd w:val="clear" w:color="auto" w:fill="auto"/>
          <w:lang w:val="zh-CN" w:eastAsia="zh-CN"/>
        </w:rPr>
        <w:t>。</w:t>
      </w:r>
      <w:r>
        <w:rPr>
          <w:rFonts w:hint="eastAsia" w:ascii="仿宋_GB2312" w:hAnsi="仿宋_GB2312" w:eastAsia="仿宋_GB2312" w:cs="仿宋_GB2312"/>
          <w:color w:val="auto"/>
          <w:sz w:val="32"/>
          <w:szCs w:val="32"/>
          <w:highlight w:val="none"/>
          <w:shd w:val="clear" w:color="auto" w:fill="auto"/>
          <w:lang w:val="zh-CN"/>
        </w:rPr>
        <w:t>上级补助收入</w:t>
      </w:r>
      <w:r>
        <w:rPr>
          <w:rFonts w:hint="eastAsia" w:ascii="仿宋_GB2312" w:hAnsi="仿宋_GB2312" w:eastAsia="仿宋_GB2312" w:cs="仿宋_GB2312"/>
          <w:color w:val="auto"/>
          <w:sz w:val="32"/>
          <w:szCs w:val="32"/>
          <w:highlight w:val="none"/>
          <w:shd w:val="clear" w:color="auto" w:fill="auto"/>
          <w:lang w:val="en-US" w:eastAsia="zh-CN"/>
        </w:rPr>
        <w:t>46,835</w:t>
      </w:r>
      <w:r>
        <w:rPr>
          <w:rFonts w:hint="eastAsia" w:ascii="仿宋_GB2312" w:hAnsi="仿宋_GB2312" w:eastAsia="仿宋_GB2312" w:cs="仿宋_GB2312"/>
          <w:color w:val="auto"/>
          <w:sz w:val="32"/>
          <w:szCs w:val="32"/>
          <w:highlight w:val="none"/>
          <w:shd w:val="clear" w:color="auto" w:fill="auto"/>
          <w:lang w:val="zh-CN"/>
        </w:rPr>
        <w:t xml:space="preserve"> 万元</w:t>
      </w:r>
      <w:r>
        <w:rPr>
          <w:rFonts w:hint="default" w:ascii="仿宋_GB2312" w:hAnsi="仿宋_GB2312" w:eastAsia="仿宋_GB2312" w:cs="仿宋_GB2312"/>
          <w:color w:val="auto"/>
          <w:sz w:val="32"/>
          <w:szCs w:val="32"/>
          <w:highlight w:val="none"/>
          <w:shd w:val="clear" w:color="auto" w:fill="auto"/>
          <w:lang w:val="en-US"/>
        </w:rPr>
        <w:t>,</w:t>
      </w:r>
      <w:r>
        <w:rPr>
          <w:rFonts w:hint="eastAsia" w:ascii="仿宋_GB2312" w:hAnsi="仿宋_GB2312" w:eastAsia="仿宋_GB2312" w:cs="仿宋_GB2312"/>
          <w:color w:val="auto"/>
          <w:sz w:val="32"/>
          <w:szCs w:val="32"/>
          <w:highlight w:val="none"/>
          <w:shd w:val="clear" w:color="auto" w:fill="auto"/>
          <w:lang w:val="en-US" w:eastAsia="zh-CN"/>
        </w:rPr>
        <w:t>同比下降4.8%</w:t>
      </w:r>
      <w:r>
        <w:rPr>
          <w:rFonts w:hint="eastAsia" w:ascii="仿宋_GB2312" w:hAnsi="仿宋_GB2312" w:eastAsia="仿宋_GB2312" w:cs="仿宋_GB2312"/>
          <w:color w:val="auto"/>
          <w:sz w:val="32"/>
          <w:szCs w:val="32"/>
          <w:highlight w:val="none"/>
          <w:shd w:val="clear" w:color="auto" w:fill="auto"/>
          <w:lang w:val="zh-CN"/>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一般公共预算支出</w:t>
      </w:r>
      <w:r>
        <w:rPr>
          <w:rFonts w:hint="eastAsia" w:ascii="仿宋_GB2312" w:eastAsia="仿宋_GB2312"/>
          <w:color w:val="auto"/>
          <w:sz w:val="32"/>
          <w:szCs w:val="32"/>
          <w:highlight w:val="none"/>
          <w:lang w:val="en-US" w:eastAsia="zh-CN"/>
        </w:rPr>
        <w:t>103,035</w:t>
      </w:r>
      <w:r>
        <w:rPr>
          <w:rFonts w:hint="eastAsia" w:ascii="仿宋_GB2312" w:eastAsia="仿宋_GB2312"/>
          <w:color w:val="auto"/>
          <w:sz w:val="32"/>
          <w:szCs w:val="32"/>
          <w:highlight w:val="none"/>
        </w:rPr>
        <w:t>万元，同比</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%。其中：区本级一般公共预算支出</w:t>
      </w:r>
      <w:r>
        <w:rPr>
          <w:rFonts w:hint="eastAsia" w:ascii="仿宋_GB2312" w:eastAsia="仿宋_GB2312"/>
          <w:color w:val="auto"/>
          <w:sz w:val="32"/>
          <w:szCs w:val="32"/>
          <w:highlight w:val="none"/>
          <w:lang w:val="en-US" w:eastAsia="zh-CN"/>
        </w:rPr>
        <w:t>74,176</w:t>
      </w:r>
      <w:r>
        <w:rPr>
          <w:rFonts w:hint="eastAsia" w:ascii="仿宋_GB2312" w:eastAsia="仿宋_GB2312"/>
          <w:color w:val="auto"/>
          <w:sz w:val="32"/>
          <w:szCs w:val="32"/>
          <w:highlight w:val="none"/>
        </w:rPr>
        <w:t>万元，同比</w:t>
      </w:r>
      <w:r>
        <w:rPr>
          <w:rFonts w:hint="eastAsia" w:ascii="仿宋_GB2312" w:eastAsia="仿宋_GB2312"/>
          <w:color w:val="auto"/>
          <w:sz w:val="32"/>
          <w:szCs w:val="32"/>
          <w:highlight w:val="none"/>
          <w:lang w:eastAsia="zh-CN"/>
        </w:rPr>
        <w:t>下降</w:t>
      </w:r>
      <w:r>
        <w:rPr>
          <w:rFonts w:hint="eastAsia" w:ascii="仿宋_GB2312" w:eastAsia="仿宋_GB2312"/>
          <w:color w:val="auto"/>
          <w:sz w:val="32"/>
          <w:szCs w:val="32"/>
          <w:highlight w:val="none"/>
          <w:lang w:val="en-US" w:eastAsia="zh-CN"/>
        </w:rPr>
        <w:t>10.2</w:t>
      </w:r>
      <w:r>
        <w:rPr>
          <w:rFonts w:hint="eastAsia" w:ascii="仿宋_GB2312" w:eastAsia="仿宋_GB2312"/>
          <w:color w:val="auto"/>
          <w:sz w:val="32"/>
          <w:szCs w:val="32"/>
          <w:highlight w:val="none"/>
        </w:rPr>
        <w:t>%；上级转移支付支出</w:t>
      </w:r>
      <w:r>
        <w:rPr>
          <w:rFonts w:hint="eastAsia" w:ascii="仿宋_GB2312" w:eastAsia="仿宋_GB2312"/>
          <w:color w:val="auto"/>
          <w:sz w:val="32"/>
          <w:szCs w:val="32"/>
          <w:highlight w:val="none"/>
          <w:lang w:val="en-US" w:eastAsia="zh-CN"/>
        </w:rPr>
        <w:t>28,859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，同比增长</w:t>
      </w:r>
      <w:r>
        <w:rPr>
          <w:rFonts w:hint="eastAsia" w:ascii="仿宋_GB2312" w:eastAsia="仿宋_GB2312"/>
          <w:color w:val="auto"/>
          <w:sz w:val="32"/>
          <w:szCs w:val="32"/>
          <w:highlight w:val="none"/>
          <w:lang w:val="en-US" w:eastAsia="zh-CN"/>
        </w:rPr>
        <w:t>50.3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rPr>
      </w:pPr>
      <w:r>
        <w:rPr>
          <w:rFonts w:hint="eastAsia" w:ascii="楷体_GB2312" w:hAnsi="楷体_GB2312" w:eastAsia="楷体_GB2312" w:cs="楷体_GB2312"/>
          <w:bCs/>
          <w:color w:val="auto"/>
          <w:sz w:val="32"/>
          <w:szCs w:val="32"/>
          <w:highlight w:val="none"/>
        </w:rPr>
        <w:t>（二）政府性基金收支情况</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color w:val="auto"/>
          <w:highlight w:val="none"/>
        </w:rPr>
      </w:pPr>
      <w:r>
        <w:rPr>
          <w:rFonts w:hint="eastAsia"/>
          <w:color w:val="auto"/>
          <w:highlight w:val="none"/>
        </w:rPr>
        <w:t>上半年，全区政府性基金补助收入</w:t>
      </w:r>
      <w:r>
        <w:rPr>
          <w:rFonts w:hint="eastAsia"/>
          <w:color w:val="auto"/>
          <w:highlight w:val="none"/>
          <w:lang w:val="en-US" w:eastAsia="zh-CN"/>
        </w:rPr>
        <w:t>85,551</w:t>
      </w:r>
      <w:r>
        <w:rPr>
          <w:rFonts w:hint="eastAsia"/>
          <w:color w:val="auto"/>
          <w:highlight w:val="none"/>
        </w:rPr>
        <w:t xml:space="preserve"> 万元，同比</w:t>
      </w:r>
      <w:r>
        <w:rPr>
          <w:rFonts w:hint="eastAsia"/>
          <w:color w:val="auto"/>
          <w:highlight w:val="none"/>
          <w:lang w:eastAsia="zh-CN"/>
        </w:rPr>
        <w:t>下降</w:t>
      </w:r>
      <w:r>
        <w:rPr>
          <w:rFonts w:hint="eastAsia"/>
          <w:color w:val="auto"/>
          <w:highlight w:val="none"/>
          <w:lang w:val="en-US" w:eastAsia="zh-CN"/>
        </w:rPr>
        <w:t>36.9</w:t>
      </w:r>
      <w:r>
        <w:rPr>
          <w:rFonts w:hint="eastAsia"/>
          <w:color w:val="auto"/>
          <w:highlight w:val="none"/>
        </w:rPr>
        <w:t>%</w:t>
      </w:r>
      <w:r>
        <w:rPr>
          <w:rFonts w:hint="eastAsia"/>
          <w:color w:val="auto"/>
          <w:highlight w:val="none"/>
          <w:lang w:eastAsia="zh-CN"/>
        </w:rPr>
        <w:t>；政府性基金</w:t>
      </w:r>
      <w:r>
        <w:rPr>
          <w:rFonts w:hint="eastAsia"/>
          <w:color w:val="auto"/>
          <w:highlight w:val="none"/>
        </w:rPr>
        <w:t>支出</w:t>
      </w:r>
      <w:r>
        <w:rPr>
          <w:rFonts w:hint="eastAsia"/>
          <w:color w:val="auto"/>
          <w:highlight w:val="none"/>
          <w:lang w:val="en-US" w:eastAsia="zh-CN"/>
        </w:rPr>
        <w:t>47</w:t>
      </w:r>
      <w:r>
        <w:rPr>
          <w:rFonts w:hint="eastAsia" w:ascii="仿宋_GB2312" w:hAnsi="仿宋_GB2312" w:eastAsia="仿宋_GB2312" w:cs="仿宋_GB2312"/>
          <w:color w:val="auto"/>
          <w:sz w:val="32"/>
          <w:szCs w:val="32"/>
          <w:highlight w:val="none"/>
          <w:shd w:val="clear" w:color="auto" w:fill="auto"/>
          <w:lang w:val="en-US" w:eastAsia="zh-CN"/>
        </w:rPr>
        <w:t>,</w:t>
      </w:r>
      <w:r>
        <w:rPr>
          <w:rFonts w:hint="eastAsia"/>
          <w:color w:val="auto"/>
          <w:highlight w:val="none"/>
          <w:lang w:val="en-US" w:eastAsia="zh-CN"/>
        </w:rPr>
        <w:t>643</w:t>
      </w:r>
      <w:r>
        <w:rPr>
          <w:rFonts w:hint="eastAsia"/>
          <w:color w:val="auto"/>
          <w:highlight w:val="none"/>
        </w:rPr>
        <w:t>万元</w:t>
      </w:r>
      <w:r>
        <w:rPr>
          <w:rFonts w:hint="eastAsia" w:ascii="仿宋_GB2312" w:hAnsi="仿宋" w:eastAsia="仿宋_GB2312"/>
          <w:color w:val="auto"/>
          <w:sz w:val="32"/>
          <w:szCs w:val="32"/>
          <w:highlight w:val="none"/>
          <w:lang w:eastAsia="zh-CN"/>
        </w:rPr>
        <w:t>，同比</w:t>
      </w:r>
      <w:r>
        <w:rPr>
          <w:rFonts w:hint="eastAsia" w:hAnsi="仿宋"/>
          <w:color w:val="auto"/>
          <w:sz w:val="32"/>
          <w:szCs w:val="32"/>
          <w:highlight w:val="none"/>
          <w:lang w:eastAsia="zh-CN"/>
        </w:rPr>
        <w:t>下降</w:t>
      </w:r>
      <w:r>
        <w:rPr>
          <w:rFonts w:hint="eastAsia" w:hAnsi="仿宋"/>
          <w:color w:val="auto"/>
          <w:sz w:val="32"/>
          <w:szCs w:val="32"/>
          <w:highlight w:val="none"/>
          <w:lang w:val="en-US" w:eastAsia="zh-CN"/>
        </w:rPr>
        <w:t>53.4</w:t>
      </w:r>
      <w:r>
        <w:rPr>
          <w:rFonts w:hint="eastAsia" w:ascii="仿宋_GB2312" w:hAnsi="仿宋" w:eastAsia="仿宋_GB2312"/>
          <w:color w:val="auto"/>
          <w:sz w:val="32"/>
          <w:szCs w:val="32"/>
          <w:highlight w:val="none"/>
          <w:lang w:eastAsia="zh-CN"/>
        </w:rPr>
        <w:t>%</w:t>
      </w:r>
      <w:r>
        <w:rPr>
          <w:rFonts w:hint="eastAsia"/>
          <w:color w:val="auto"/>
          <w:highlight w:val="none"/>
        </w:rPr>
        <w:t>。</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 w:hAnsi="楷体" w:eastAsia="楷体" w:cs="楷体"/>
          <w:color w:val="auto"/>
          <w:highlight w:val="none"/>
          <w:lang w:eastAsia="zh-CN"/>
        </w:rPr>
      </w:pPr>
      <w:r>
        <w:rPr>
          <w:rFonts w:hint="eastAsia" w:ascii="楷体_GB2312" w:hAnsi="楷体_GB2312" w:eastAsia="楷体_GB2312" w:cs="楷体_GB2312"/>
          <w:bCs/>
          <w:color w:val="auto"/>
          <w:sz w:val="32"/>
          <w:szCs w:val="32"/>
          <w:highlight w:val="none"/>
        </w:rPr>
        <w:t>（</w:t>
      </w:r>
      <w:r>
        <w:rPr>
          <w:rFonts w:hint="eastAsia" w:ascii="楷体_GB2312" w:hAnsi="楷体_GB2312" w:eastAsia="楷体_GB2312" w:cs="楷体_GB2312"/>
          <w:bCs/>
          <w:color w:val="auto"/>
          <w:sz w:val="32"/>
          <w:szCs w:val="32"/>
          <w:highlight w:val="none"/>
          <w:lang w:eastAsia="zh-CN"/>
        </w:rPr>
        <w:t>三</w:t>
      </w:r>
      <w:r>
        <w:rPr>
          <w:rFonts w:hint="eastAsia" w:ascii="楷体_GB2312" w:hAnsi="楷体_GB2312" w:eastAsia="楷体_GB2312" w:cs="楷体_GB2312"/>
          <w:bCs/>
          <w:color w:val="auto"/>
          <w:sz w:val="32"/>
          <w:szCs w:val="32"/>
          <w:highlight w:val="none"/>
        </w:rPr>
        <w:t>）</w:t>
      </w:r>
      <w:r>
        <w:rPr>
          <w:rFonts w:hint="eastAsia" w:ascii="楷体_GB2312" w:hAnsi="楷体_GB2312" w:eastAsia="楷体_GB2312" w:cs="楷体_GB2312"/>
          <w:bCs/>
          <w:color w:val="auto"/>
          <w:sz w:val="32"/>
          <w:szCs w:val="32"/>
          <w:highlight w:val="none"/>
          <w:lang w:eastAsia="zh-CN"/>
        </w:rPr>
        <w:t>上半年经济财政形势</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0"/>
          <w:sz w:val="32"/>
          <w:szCs w:val="32"/>
          <w:highlight w:val="none"/>
          <w:shd w:val="clear" w:color="auto" w:fill="auto"/>
          <w:lang w:val="en-US" w:eastAsia="zh-CN" w:bidi="ar-SA"/>
        </w:rPr>
      </w:pPr>
      <w:r>
        <w:rPr>
          <w:rFonts w:hint="default" w:ascii="仿宋_GB2312" w:hAnsi="仿宋_GB2312" w:eastAsia="仿宋_GB2312" w:cs="仿宋_GB2312"/>
          <w:color w:val="auto"/>
          <w:kern w:val="0"/>
          <w:sz w:val="32"/>
          <w:szCs w:val="32"/>
          <w:highlight w:val="none"/>
          <w:shd w:val="clear" w:color="auto" w:fill="auto"/>
          <w:lang w:val="en-US" w:eastAsia="zh-CN" w:bidi="ar-SA"/>
        </w:rPr>
        <w:t>一季度，在</w:t>
      </w:r>
      <w:r>
        <w:rPr>
          <w:rFonts w:hint="eastAsia" w:ascii="仿宋_GB2312" w:hAnsi="仿宋_GB2312" w:eastAsia="仿宋_GB2312" w:cs="仿宋_GB2312"/>
          <w:color w:val="auto"/>
          <w:kern w:val="0"/>
          <w:sz w:val="32"/>
          <w:szCs w:val="32"/>
          <w:highlight w:val="none"/>
          <w:shd w:val="clear" w:color="auto" w:fill="auto"/>
          <w:lang w:val="en-US" w:eastAsia="zh-CN" w:bidi="ar-SA"/>
        </w:rPr>
        <w:t>区委区</w:t>
      </w:r>
      <w:r>
        <w:rPr>
          <w:rFonts w:hint="default" w:ascii="仿宋_GB2312" w:hAnsi="仿宋_GB2312" w:eastAsia="仿宋_GB2312" w:cs="仿宋_GB2312"/>
          <w:color w:val="auto"/>
          <w:kern w:val="0"/>
          <w:sz w:val="32"/>
          <w:szCs w:val="32"/>
          <w:highlight w:val="none"/>
          <w:shd w:val="clear" w:color="auto" w:fill="auto"/>
          <w:lang w:val="en-US" w:eastAsia="zh-CN" w:bidi="ar-SA"/>
        </w:rPr>
        <w:t>政府统筹稳经济政策的高效落实下，全</w:t>
      </w:r>
      <w:r>
        <w:rPr>
          <w:rFonts w:hint="eastAsia" w:ascii="仿宋_GB2312" w:hAnsi="仿宋_GB2312" w:eastAsia="仿宋_GB2312" w:cs="仿宋_GB2312"/>
          <w:color w:val="auto"/>
          <w:kern w:val="0"/>
          <w:sz w:val="32"/>
          <w:szCs w:val="32"/>
          <w:highlight w:val="none"/>
          <w:shd w:val="clear" w:color="auto" w:fill="auto"/>
          <w:lang w:val="en-US" w:eastAsia="zh-CN" w:bidi="ar-SA"/>
        </w:rPr>
        <w:t>区</w:t>
      </w:r>
      <w:r>
        <w:rPr>
          <w:rFonts w:hint="default" w:ascii="仿宋_GB2312" w:hAnsi="仿宋_GB2312" w:eastAsia="仿宋_GB2312" w:cs="仿宋_GB2312"/>
          <w:color w:val="auto"/>
          <w:kern w:val="0"/>
          <w:sz w:val="32"/>
          <w:szCs w:val="32"/>
          <w:highlight w:val="none"/>
          <w:shd w:val="clear" w:color="auto" w:fill="auto"/>
          <w:lang w:val="en-US" w:eastAsia="zh-CN" w:bidi="ar-SA"/>
        </w:rPr>
        <w:t>经济持续恢复向好，地方一般公共预算收入增长</w:t>
      </w:r>
      <w:r>
        <w:rPr>
          <w:rFonts w:hint="eastAsia" w:ascii="仿宋_GB2312" w:hAnsi="仿宋_GB2312" w:eastAsia="仿宋_GB2312" w:cs="仿宋_GB2312"/>
          <w:color w:val="auto"/>
          <w:kern w:val="0"/>
          <w:sz w:val="32"/>
          <w:szCs w:val="32"/>
          <w:highlight w:val="none"/>
          <w:shd w:val="clear" w:color="auto" w:fill="auto"/>
          <w:lang w:val="en-US" w:eastAsia="zh-CN" w:bidi="ar-SA"/>
        </w:rPr>
        <w:t>1.8</w:t>
      </w:r>
      <w:r>
        <w:rPr>
          <w:rFonts w:hint="default" w:ascii="仿宋_GB2312" w:hAnsi="仿宋_GB2312" w:eastAsia="仿宋_GB2312" w:cs="仿宋_GB2312"/>
          <w:color w:val="auto"/>
          <w:kern w:val="0"/>
          <w:sz w:val="32"/>
          <w:szCs w:val="32"/>
          <w:highlight w:val="none"/>
          <w:shd w:val="clear" w:color="auto" w:fill="auto"/>
          <w:lang w:val="en-US" w:eastAsia="zh-CN" w:bidi="ar-SA"/>
        </w:rPr>
        <w:t>%，顺利实现</w:t>
      </w:r>
      <w:r>
        <w:rPr>
          <w:rFonts w:hint="eastAsia" w:ascii="仿宋_GB2312" w:hAnsi="仿宋_GB2312" w:eastAsia="仿宋_GB2312" w:cs="仿宋_GB2312"/>
          <w:color w:val="auto"/>
          <w:kern w:val="0"/>
          <w:sz w:val="32"/>
          <w:szCs w:val="32"/>
          <w:highlight w:val="none"/>
          <w:shd w:val="clear" w:color="auto" w:fill="auto"/>
          <w:lang w:val="en-US" w:eastAsia="zh-CN" w:bidi="ar-SA"/>
        </w:rPr>
        <w:t>“</w:t>
      </w:r>
      <w:r>
        <w:rPr>
          <w:rFonts w:hint="default" w:ascii="仿宋_GB2312" w:hAnsi="仿宋_GB2312" w:eastAsia="仿宋_GB2312" w:cs="仿宋_GB2312"/>
          <w:color w:val="auto"/>
          <w:kern w:val="0"/>
          <w:sz w:val="32"/>
          <w:szCs w:val="32"/>
          <w:highlight w:val="none"/>
          <w:shd w:val="clear" w:color="auto" w:fill="auto"/>
          <w:lang w:val="en-US" w:eastAsia="zh-CN" w:bidi="ar-SA"/>
        </w:rPr>
        <w:t>开门红</w:t>
      </w:r>
      <w:r>
        <w:rPr>
          <w:rFonts w:hint="eastAsia" w:ascii="仿宋_GB2312" w:hAnsi="仿宋_GB2312" w:eastAsia="仿宋_GB2312" w:cs="仿宋_GB2312"/>
          <w:color w:val="auto"/>
          <w:kern w:val="0"/>
          <w:sz w:val="32"/>
          <w:szCs w:val="32"/>
          <w:highlight w:val="none"/>
          <w:shd w:val="clear" w:color="auto" w:fill="auto"/>
          <w:lang w:val="en-US" w:eastAsia="zh-CN" w:bidi="ar-SA"/>
        </w:rPr>
        <w:t>”</w:t>
      </w:r>
      <w:r>
        <w:rPr>
          <w:rFonts w:hint="default" w:ascii="仿宋_GB2312" w:hAnsi="仿宋_GB2312" w:eastAsia="仿宋_GB2312" w:cs="仿宋_GB2312"/>
          <w:color w:val="auto"/>
          <w:kern w:val="0"/>
          <w:sz w:val="32"/>
          <w:szCs w:val="32"/>
          <w:highlight w:val="none"/>
          <w:shd w:val="clear" w:color="auto" w:fill="auto"/>
          <w:lang w:val="zh-TW" w:eastAsia="zh-CN" w:bidi="ar-SA"/>
        </w:rPr>
        <w:t>目标</w:t>
      </w:r>
      <w:r>
        <w:rPr>
          <w:rFonts w:hint="default" w:ascii="仿宋_GB2312" w:hAnsi="仿宋_GB2312" w:eastAsia="仿宋_GB2312" w:cs="仿宋_GB2312"/>
          <w:color w:val="auto"/>
          <w:kern w:val="0"/>
          <w:sz w:val="32"/>
          <w:szCs w:val="32"/>
          <w:highlight w:val="none"/>
          <w:shd w:val="clear" w:color="auto" w:fill="auto"/>
          <w:lang w:val="en-US" w:eastAsia="zh-CN" w:bidi="ar-SA"/>
        </w:rPr>
        <w:t>。上半年，地方一般公共预算收入完成</w:t>
      </w:r>
      <w:r>
        <w:rPr>
          <w:rFonts w:hint="eastAsia" w:ascii="仿宋_GB2312" w:hAnsi="仿宋_GB2312" w:eastAsia="仿宋_GB2312" w:cs="仿宋_GB2312"/>
          <w:color w:val="auto"/>
          <w:kern w:val="0"/>
          <w:sz w:val="32"/>
          <w:szCs w:val="32"/>
          <w:highlight w:val="none"/>
          <w:shd w:val="clear" w:color="auto" w:fill="auto"/>
          <w:lang w:val="en-US" w:eastAsia="zh-CN" w:bidi="ar-SA"/>
        </w:rPr>
        <w:t>89,744万元</w:t>
      </w:r>
      <w:r>
        <w:rPr>
          <w:rFonts w:hint="default" w:ascii="仿宋_GB2312" w:hAnsi="仿宋_GB2312" w:eastAsia="仿宋_GB2312" w:cs="仿宋_GB2312"/>
          <w:color w:val="auto"/>
          <w:kern w:val="0"/>
          <w:sz w:val="32"/>
          <w:szCs w:val="32"/>
          <w:highlight w:val="none"/>
          <w:shd w:val="clear" w:color="auto" w:fill="auto"/>
          <w:lang w:val="en-US" w:eastAsia="zh-CN" w:bidi="ar-SA"/>
        </w:rPr>
        <w:t>，完成年初预算52.</w:t>
      </w:r>
      <w:r>
        <w:rPr>
          <w:rFonts w:hint="eastAsia" w:ascii="仿宋_GB2312" w:hAnsi="仿宋_GB2312" w:eastAsia="仿宋_GB2312" w:cs="仿宋_GB2312"/>
          <w:color w:val="auto"/>
          <w:kern w:val="0"/>
          <w:sz w:val="32"/>
          <w:szCs w:val="32"/>
          <w:highlight w:val="none"/>
          <w:shd w:val="clear" w:color="auto" w:fill="auto"/>
          <w:lang w:val="en-US" w:eastAsia="zh-CN" w:bidi="ar-SA"/>
        </w:rPr>
        <w:t>3</w:t>
      </w:r>
      <w:r>
        <w:rPr>
          <w:rFonts w:hint="default" w:ascii="仿宋_GB2312" w:hAnsi="仿宋_GB2312" w:eastAsia="仿宋_GB2312" w:cs="仿宋_GB2312"/>
          <w:color w:val="auto"/>
          <w:kern w:val="0"/>
          <w:sz w:val="32"/>
          <w:szCs w:val="32"/>
          <w:highlight w:val="none"/>
          <w:shd w:val="clear" w:color="auto" w:fill="auto"/>
          <w:lang w:val="en-US" w:eastAsia="zh-CN" w:bidi="ar-SA"/>
        </w:rPr>
        <w:t>%，</w:t>
      </w:r>
      <w:r>
        <w:rPr>
          <w:rFonts w:hint="eastAsia" w:hAnsi="仿宋_GB2312" w:cs="仿宋_GB2312"/>
          <w:color w:val="auto"/>
          <w:kern w:val="0"/>
          <w:sz w:val="32"/>
          <w:szCs w:val="32"/>
          <w:highlight w:val="none"/>
          <w:shd w:val="clear" w:color="auto" w:fill="auto"/>
          <w:lang w:val="en-US" w:eastAsia="zh-CN" w:bidi="ar-SA"/>
        </w:rPr>
        <w:t>实现</w:t>
      </w:r>
      <w:r>
        <w:rPr>
          <w:rFonts w:hint="eastAsia" w:ascii="仿宋_GB2312" w:hAnsi="仿宋_GB2312" w:eastAsia="仿宋_GB2312" w:cs="仿宋_GB2312"/>
          <w:color w:val="auto"/>
          <w:kern w:val="0"/>
          <w:sz w:val="32"/>
          <w:szCs w:val="32"/>
          <w:highlight w:val="none"/>
          <w:shd w:val="clear" w:color="auto" w:fill="auto"/>
          <w:lang w:val="en-US" w:eastAsia="zh-CN" w:bidi="ar-SA"/>
        </w:rPr>
        <w:t>“时间过半、任务过半”工作目标</w:t>
      </w:r>
      <w:r>
        <w:rPr>
          <w:rFonts w:hint="default" w:ascii="仿宋_GB2312" w:hAnsi="仿宋_GB2312" w:eastAsia="仿宋_GB2312" w:cs="仿宋_GB2312"/>
          <w:color w:val="auto"/>
          <w:kern w:val="0"/>
          <w:sz w:val="32"/>
          <w:szCs w:val="32"/>
          <w:highlight w:val="none"/>
          <w:shd w:val="clear" w:color="auto" w:fill="auto"/>
          <w:lang w:val="en-US" w:eastAsia="zh-CN" w:bidi="ar-SA"/>
        </w:rPr>
        <w:t>。其中：区级税收</w:t>
      </w:r>
      <w:r>
        <w:rPr>
          <w:rFonts w:hint="eastAsia" w:ascii="仿宋_GB2312" w:hAnsi="仿宋_GB2312" w:eastAsia="仿宋_GB2312" w:cs="仿宋_GB2312"/>
          <w:color w:val="auto"/>
          <w:sz w:val="32"/>
          <w:szCs w:val="32"/>
          <w:highlight w:val="none"/>
          <w:shd w:val="clear" w:color="auto" w:fill="auto"/>
          <w:lang w:val="en-US" w:eastAsia="zh-CN"/>
        </w:rPr>
        <w:t>88,784万</w:t>
      </w:r>
      <w:r>
        <w:rPr>
          <w:rFonts w:hint="eastAsia" w:ascii="仿宋_GB2312" w:hAnsi="仿宋_GB2312" w:eastAsia="仿宋_GB2312" w:cs="仿宋_GB2312"/>
          <w:color w:val="auto"/>
          <w:sz w:val="32"/>
          <w:szCs w:val="32"/>
          <w:highlight w:val="none"/>
          <w:shd w:val="clear" w:color="auto" w:fill="auto"/>
          <w:lang w:val="zh-CN"/>
        </w:rPr>
        <w:t>元</w:t>
      </w:r>
      <w:r>
        <w:rPr>
          <w:rFonts w:hint="default" w:ascii="仿宋_GB2312" w:hAnsi="仿宋_GB2312" w:eastAsia="仿宋_GB2312" w:cs="仿宋_GB2312"/>
          <w:color w:val="auto"/>
          <w:kern w:val="0"/>
          <w:sz w:val="32"/>
          <w:szCs w:val="32"/>
          <w:highlight w:val="none"/>
          <w:shd w:val="clear" w:color="auto" w:fill="auto"/>
          <w:lang w:val="en-US" w:eastAsia="zh-CN" w:bidi="ar-SA"/>
        </w:rPr>
        <w:t>，完成年初预算52.7%，占一般公共预算收入比重从上年末的</w:t>
      </w:r>
      <w:r>
        <w:rPr>
          <w:rFonts w:hint="eastAsia" w:ascii="仿宋_GB2312" w:hAnsi="仿宋_GB2312" w:eastAsia="仿宋_GB2312" w:cs="仿宋_GB2312"/>
          <w:color w:val="auto"/>
          <w:kern w:val="0"/>
          <w:sz w:val="32"/>
          <w:szCs w:val="32"/>
          <w:highlight w:val="none"/>
          <w:shd w:val="clear" w:color="auto" w:fill="auto"/>
          <w:lang w:val="en-US" w:eastAsia="zh-CN" w:bidi="ar-SA"/>
        </w:rPr>
        <w:t>98</w:t>
      </w:r>
      <w:r>
        <w:rPr>
          <w:rFonts w:hint="eastAsia" w:hAnsi="仿宋_GB2312" w:cs="仿宋_GB2312"/>
          <w:color w:val="auto"/>
          <w:kern w:val="0"/>
          <w:sz w:val="32"/>
          <w:szCs w:val="32"/>
          <w:highlight w:val="none"/>
          <w:shd w:val="clear" w:color="auto" w:fill="auto"/>
          <w:lang w:val="en-US" w:eastAsia="zh-CN" w:bidi="ar-SA"/>
        </w:rPr>
        <w:t>.1</w:t>
      </w:r>
      <w:r>
        <w:rPr>
          <w:rFonts w:hint="default" w:ascii="仿宋_GB2312" w:hAnsi="仿宋_GB2312" w:eastAsia="仿宋_GB2312" w:cs="仿宋_GB2312"/>
          <w:color w:val="auto"/>
          <w:kern w:val="0"/>
          <w:sz w:val="32"/>
          <w:szCs w:val="32"/>
          <w:highlight w:val="none"/>
          <w:shd w:val="clear" w:color="auto" w:fill="auto"/>
          <w:lang w:val="en-US" w:eastAsia="zh-CN" w:bidi="ar-SA"/>
        </w:rPr>
        <w:t>%提升至</w:t>
      </w:r>
      <w:r>
        <w:rPr>
          <w:rFonts w:hint="eastAsia" w:hAnsi="仿宋_GB2312" w:cs="仿宋_GB2312"/>
          <w:color w:val="auto"/>
          <w:kern w:val="0"/>
          <w:sz w:val="32"/>
          <w:szCs w:val="32"/>
          <w:highlight w:val="none"/>
          <w:shd w:val="clear" w:color="auto" w:fill="auto"/>
          <w:lang w:val="en-US" w:eastAsia="zh-CN" w:bidi="ar-SA"/>
        </w:rPr>
        <w:t>99</w:t>
      </w:r>
      <w:r>
        <w:rPr>
          <w:rFonts w:hint="default" w:ascii="仿宋_GB2312" w:hAnsi="仿宋_GB2312" w:eastAsia="仿宋_GB2312" w:cs="仿宋_GB2312"/>
          <w:color w:val="auto"/>
          <w:kern w:val="0"/>
          <w:sz w:val="32"/>
          <w:szCs w:val="32"/>
          <w:highlight w:val="none"/>
          <w:shd w:val="clear" w:color="auto" w:fill="auto"/>
          <w:lang w:val="en-US" w:eastAsia="zh-CN" w:bidi="ar-SA"/>
        </w:rPr>
        <w:t>%</w:t>
      </w:r>
      <w:r>
        <w:rPr>
          <w:rFonts w:hint="eastAsia" w:hAnsi="仿宋_GB2312" w:cs="仿宋_GB2312"/>
          <w:color w:val="auto"/>
          <w:kern w:val="0"/>
          <w:sz w:val="32"/>
          <w:szCs w:val="32"/>
          <w:highlight w:val="none"/>
          <w:shd w:val="clear" w:color="auto" w:fill="auto"/>
          <w:lang w:val="en-US" w:eastAsia="zh-CN" w:bidi="ar-SA"/>
        </w:rPr>
        <w:t>。下半年</w:t>
      </w:r>
      <w:r>
        <w:rPr>
          <w:rFonts w:hint="default" w:ascii="仿宋_GB2312" w:hAnsi="仿宋_GB2312" w:eastAsia="仿宋_GB2312" w:cs="仿宋_GB2312"/>
          <w:color w:val="auto"/>
          <w:kern w:val="0"/>
          <w:sz w:val="32"/>
          <w:szCs w:val="32"/>
          <w:highlight w:val="none"/>
          <w:shd w:val="clear" w:color="auto" w:fill="auto"/>
          <w:lang w:val="en-US" w:eastAsia="zh-CN" w:bidi="ar-SA"/>
        </w:rPr>
        <w:t>需完成</w:t>
      </w:r>
      <w:r>
        <w:rPr>
          <w:rFonts w:hint="eastAsia" w:hAnsi="仿宋_GB2312" w:cs="仿宋_GB2312"/>
          <w:color w:val="auto"/>
          <w:kern w:val="0"/>
          <w:sz w:val="32"/>
          <w:szCs w:val="32"/>
          <w:highlight w:val="none"/>
          <w:shd w:val="clear" w:color="auto" w:fill="auto"/>
          <w:lang w:val="en-US" w:eastAsia="zh-CN" w:bidi="ar-SA"/>
        </w:rPr>
        <w:t>81</w:t>
      </w:r>
      <w:r>
        <w:rPr>
          <w:rFonts w:hint="eastAsia" w:ascii="仿宋_GB2312" w:eastAsia="仿宋_GB2312"/>
          <w:color w:val="auto"/>
          <w:sz w:val="32"/>
          <w:szCs w:val="32"/>
          <w:highlight w:val="none"/>
          <w:lang w:val="en-US" w:eastAsia="zh-CN"/>
        </w:rPr>
        <w:t>,</w:t>
      </w:r>
      <w:r>
        <w:rPr>
          <w:rFonts w:hint="eastAsia" w:hAnsi="仿宋_GB2312" w:cs="仿宋_GB2312"/>
          <w:color w:val="auto"/>
          <w:kern w:val="0"/>
          <w:sz w:val="32"/>
          <w:szCs w:val="32"/>
          <w:highlight w:val="none"/>
          <w:shd w:val="clear" w:color="auto" w:fill="auto"/>
          <w:lang w:val="en-US" w:eastAsia="zh-CN" w:bidi="ar-SA"/>
        </w:rPr>
        <w:t>932亿</w:t>
      </w:r>
      <w:r>
        <w:rPr>
          <w:rFonts w:hint="default" w:ascii="仿宋_GB2312" w:hAnsi="仿宋_GB2312" w:eastAsia="仿宋_GB2312" w:cs="仿宋_GB2312"/>
          <w:color w:val="auto"/>
          <w:kern w:val="0"/>
          <w:sz w:val="32"/>
          <w:szCs w:val="32"/>
          <w:highlight w:val="none"/>
          <w:shd w:val="clear" w:color="auto" w:fill="auto"/>
          <w:lang w:val="en-US" w:eastAsia="zh-CN" w:bidi="ar-SA"/>
        </w:rPr>
        <w:t>元，月均</w:t>
      </w:r>
      <w:r>
        <w:rPr>
          <w:rFonts w:hint="eastAsia" w:hAnsi="仿宋_GB2312" w:cs="仿宋_GB2312"/>
          <w:color w:val="auto"/>
          <w:kern w:val="0"/>
          <w:sz w:val="32"/>
          <w:szCs w:val="32"/>
          <w:highlight w:val="none"/>
          <w:shd w:val="clear" w:color="auto" w:fill="auto"/>
          <w:lang w:val="en-US" w:eastAsia="zh-CN" w:bidi="ar-SA"/>
        </w:rPr>
        <w:t>13</w:t>
      </w:r>
      <w:r>
        <w:rPr>
          <w:rFonts w:hint="eastAsia" w:ascii="仿宋_GB2312" w:eastAsia="仿宋_GB2312"/>
          <w:color w:val="auto"/>
          <w:sz w:val="32"/>
          <w:szCs w:val="32"/>
          <w:highlight w:val="none"/>
          <w:lang w:val="en-US" w:eastAsia="zh-CN"/>
        </w:rPr>
        <w:t>,</w:t>
      </w:r>
      <w:r>
        <w:rPr>
          <w:rFonts w:hint="eastAsia" w:hAnsi="仿宋_GB2312" w:cs="仿宋_GB2312"/>
          <w:color w:val="auto"/>
          <w:kern w:val="0"/>
          <w:sz w:val="32"/>
          <w:szCs w:val="32"/>
          <w:highlight w:val="none"/>
          <w:shd w:val="clear" w:color="auto" w:fill="auto"/>
          <w:lang w:val="en-US" w:eastAsia="zh-CN" w:bidi="ar-SA"/>
        </w:rPr>
        <w:t>655</w:t>
      </w:r>
      <w:r>
        <w:rPr>
          <w:rFonts w:hint="default" w:ascii="仿宋_GB2312" w:hAnsi="仿宋_GB2312" w:eastAsia="仿宋_GB2312" w:cs="仿宋_GB2312"/>
          <w:color w:val="auto"/>
          <w:kern w:val="0"/>
          <w:sz w:val="32"/>
          <w:szCs w:val="32"/>
          <w:highlight w:val="none"/>
          <w:shd w:val="clear" w:color="auto" w:fill="auto"/>
          <w:lang w:val="en-US" w:eastAsia="zh-CN" w:bidi="ar-SA"/>
        </w:rPr>
        <w:t>亿元。考虑到下半年仍存在税收政策性退税因素，且受经济下行、房地产调控等因素影响，税收征缴入库带</w:t>
      </w:r>
      <w:r>
        <w:rPr>
          <w:rFonts w:hint="eastAsia" w:hAnsi="仿宋_GB2312" w:cs="仿宋_GB2312"/>
          <w:color w:val="auto"/>
          <w:kern w:val="0"/>
          <w:sz w:val="32"/>
          <w:szCs w:val="32"/>
          <w:highlight w:val="none"/>
          <w:shd w:val="clear" w:color="auto" w:fill="auto"/>
          <w:lang w:val="en-US" w:eastAsia="zh-CN" w:bidi="ar-SA"/>
        </w:rPr>
        <w:t>存在</w:t>
      </w:r>
      <w:r>
        <w:rPr>
          <w:rFonts w:hint="default" w:ascii="仿宋_GB2312" w:hAnsi="仿宋_GB2312" w:eastAsia="仿宋_GB2312" w:cs="仿宋_GB2312"/>
          <w:color w:val="auto"/>
          <w:kern w:val="0"/>
          <w:sz w:val="32"/>
          <w:szCs w:val="32"/>
          <w:highlight w:val="none"/>
          <w:shd w:val="clear" w:color="auto" w:fill="auto"/>
          <w:lang w:val="en-US" w:eastAsia="zh-CN" w:bidi="ar-SA"/>
        </w:rPr>
        <w:t>不确定性、不可预测性，</w:t>
      </w:r>
      <w:r>
        <w:rPr>
          <w:rFonts w:hint="eastAsia" w:hAnsi="仿宋_GB2312" w:cs="仿宋_GB2312"/>
          <w:color w:val="auto"/>
          <w:kern w:val="0"/>
          <w:sz w:val="32"/>
          <w:szCs w:val="32"/>
          <w:highlight w:val="none"/>
          <w:shd w:val="clear" w:color="auto" w:fill="auto"/>
          <w:lang w:val="en-US" w:eastAsia="zh-CN" w:bidi="ar-SA"/>
        </w:rPr>
        <w:t>下半年收入</w:t>
      </w:r>
      <w:r>
        <w:rPr>
          <w:rFonts w:hint="default" w:ascii="仿宋_GB2312" w:hAnsi="仿宋_GB2312" w:eastAsia="仿宋_GB2312" w:cs="仿宋_GB2312"/>
          <w:color w:val="auto"/>
          <w:kern w:val="0"/>
          <w:sz w:val="32"/>
          <w:szCs w:val="32"/>
          <w:highlight w:val="none"/>
          <w:shd w:val="clear" w:color="auto" w:fill="auto"/>
          <w:lang w:val="en-US" w:eastAsia="zh-CN" w:bidi="ar-SA"/>
        </w:rPr>
        <w:t>任务艰巨。</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bCs/>
          <w:color w:val="auto"/>
          <w:highlight w:val="none"/>
        </w:rPr>
      </w:pPr>
      <w:r>
        <w:rPr>
          <w:rFonts w:hint="eastAsia" w:ascii="黑体" w:hAnsi="黑体" w:eastAsia="黑体" w:cs="黑体"/>
          <w:bCs/>
          <w:color w:val="auto"/>
          <w:highlight w:val="none"/>
        </w:rPr>
        <w:t>三、</w:t>
      </w:r>
      <w:r>
        <w:rPr>
          <w:rFonts w:hint="eastAsia" w:ascii="黑体" w:hAnsi="黑体" w:eastAsia="黑体" w:cs="黑体"/>
          <w:bCs/>
          <w:color w:val="auto"/>
          <w:highlight w:val="none"/>
          <w:lang w:val="en-US" w:eastAsia="zh-CN"/>
        </w:rPr>
        <w:t>2024</w:t>
      </w:r>
      <w:r>
        <w:rPr>
          <w:rFonts w:hint="eastAsia" w:ascii="黑体" w:hAnsi="黑体" w:eastAsia="黑体" w:cs="黑体"/>
          <w:bCs/>
          <w:color w:val="auto"/>
          <w:highlight w:val="none"/>
        </w:rPr>
        <w:t>年上半年财政</w:t>
      </w:r>
      <w:r>
        <w:rPr>
          <w:rFonts w:hint="eastAsia" w:ascii="黑体" w:hAnsi="黑体" w:eastAsia="黑体" w:cs="黑体"/>
          <w:bCs/>
          <w:color w:val="auto"/>
          <w:highlight w:val="none"/>
          <w:lang w:eastAsia="zh-CN"/>
        </w:rPr>
        <w:t>重点</w:t>
      </w:r>
      <w:r>
        <w:rPr>
          <w:rFonts w:hint="eastAsia" w:ascii="黑体" w:hAnsi="黑体" w:eastAsia="黑体" w:cs="黑体"/>
          <w:bCs/>
          <w:color w:val="auto"/>
          <w:highlight w:val="none"/>
        </w:rPr>
        <w:t>工作情况</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（一）抓统筹，增财力，提效能</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面对财政收入增速放缓、财政支出压力增大的严峻形势，</w:t>
      </w:r>
      <w:r>
        <w:rPr>
          <w:rFonts w:hint="eastAsia" w:hAnsi="仿宋_GB2312" w:cs="仿宋_GB2312"/>
          <w:color w:val="auto"/>
          <w:kern w:val="0"/>
          <w:sz w:val="32"/>
          <w:szCs w:val="32"/>
          <w:highlight w:val="none"/>
          <w:lang w:val="en-US" w:eastAsia="zh-CN" w:bidi="ar-SA"/>
        </w:rPr>
        <w:t>财政部门</w:t>
      </w:r>
      <w:r>
        <w:rPr>
          <w:rFonts w:hint="eastAsia" w:ascii="仿宋_GB2312" w:hAnsi="仿宋_GB2312" w:eastAsia="仿宋_GB2312" w:cs="仿宋_GB2312"/>
          <w:color w:val="auto"/>
          <w:kern w:val="0"/>
          <w:sz w:val="32"/>
          <w:szCs w:val="32"/>
          <w:highlight w:val="none"/>
          <w:lang w:val="en-US" w:eastAsia="zh-CN" w:bidi="ar-SA"/>
        </w:rPr>
        <w:t>进一步增强大财政理念，不断统筹调度分类施策。</w:t>
      </w: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仿宋_GB2312" w:hAnsi="仿宋_GB2312" w:eastAsia="仿宋_GB2312" w:cs="仿宋_GB2312"/>
          <w:b w:val="0"/>
          <w:bCs w:val="0"/>
          <w:color w:val="auto"/>
          <w:kern w:val="2"/>
          <w:sz w:val="32"/>
          <w:szCs w:val="32"/>
          <w:highlight w:val="none"/>
          <w:lang w:val="en-US" w:eastAsia="zh-CN" w:bidi="ar-SA"/>
        </w:rPr>
        <w:t>强化收入征管。紧盯收入目标，加强部门联动组织税收征管，协调</w:t>
      </w:r>
      <w:r>
        <w:rPr>
          <w:rFonts w:hint="eastAsia" w:ascii="仿宋_GB2312" w:hAnsi="仿宋_GB2312" w:eastAsia="仿宋_GB2312" w:cs="仿宋_GB2312"/>
          <w:color w:val="auto"/>
          <w:kern w:val="0"/>
          <w:sz w:val="32"/>
          <w:szCs w:val="32"/>
          <w:highlight w:val="none"/>
          <w:lang w:val="en-US" w:eastAsia="zh-CN" w:bidi="ar-SA"/>
        </w:rPr>
        <w:t>税务</w:t>
      </w:r>
      <w:r>
        <w:rPr>
          <w:rFonts w:hint="eastAsia" w:hAnsi="仿宋_GB2312" w:cs="仿宋_GB2312"/>
          <w:color w:val="auto"/>
          <w:kern w:val="0"/>
          <w:sz w:val="32"/>
          <w:szCs w:val="32"/>
          <w:highlight w:val="none"/>
          <w:lang w:val="en-US" w:eastAsia="zh-CN" w:bidi="ar-SA"/>
        </w:rPr>
        <w:t>部门加强</w:t>
      </w:r>
      <w:r>
        <w:rPr>
          <w:rFonts w:hint="eastAsia" w:ascii="仿宋_GB2312" w:hAnsi="仿宋_GB2312" w:eastAsia="仿宋_GB2312" w:cs="仿宋_GB2312"/>
          <w:color w:val="auto"/>
          <w:kern w:val="0"/>
          <w:sz w:val="32"/>
          <w:szCs w:val="32"/>
          <w:highlight w:val="none"/>
          <w:lang w:val="en-US" w:eastAsia="zh-CN" w:bidi="ar-SA"/>
        </w:rPr>
        <w:t>做好重点财源、行业、企业的信息跟踪</w:t>
      </w:r>
      <w:r>
        <w:rPr>
          <w:rFonts w:hint="eastAsia" w:hAnsi="仿宋_GB2312" w:cs="仿宋_GB2312"/>
          <w:color w:val="auto"/>
          <w:kern w:val="0"/>
          <w:sz w:val="32"/>
          <w:szCs w:val="32"/>
          <w:highlight w:val="none"/>
          <w:lang w:val="en-US" w:eastAsia="zh-CN" w:bidi="ar-SA"/>
        </w:rPr>
        <w:t>和</w:t>
      </w:r>
      <w:r>
        <w:rPr>
          <w:rFonts w:hint="eastAsia" w:ascii="仿宋_GB2312" w:hAnsi="仿宋_GB2312" w:eastAsia="仿宋_GB2312" w:cs="仿宋_GB2312"/>
          <w:color w:val="auto"/>
          <w:kern w:val="0"/>
          <w:sz w:val="32"/>
          <w:szCs w:val="32"/>
          <w:highlight w:val="none"/>
          <w:lang w:val="en-US" w:eastAsia="zh-CN" w:bidi="ar-SA"/>
        </w:rPr>
        <w:t>及时监督税源情况，下沉一线摸清税源底数，竭尽全力做到应收尽收，上半年完成全口径税收收入37亿元。征缴全区非税收入</w:t>
      </w:r>
      <w:r>
        <w:rPr>
          <w:rFonts w:hint="eastAsia" w:hAnsi="仿宋_GB2312" w:cs="仿宋_GB2312"/>
          <w:color w:val="auto"/>
          <w:kern w:val="0"/>
          <w:sz w:val="32"/>
          <w:szCs w:val="32"/>
          <w:highlight w:val="none"/>
          <w:lang w:val="en-US" w:eastAsia="zh-CN" w:bidi="ar-SA"/>
        </w:rPr>
        <w:t>0.</w:t>
      </w:r>
      <w:r>
        <w:rPr>
          <w:rFonts w:hint="eastAsia" w:ascii="仿宋_GB2312" w:hAnsi="仿宋_GB2312" w:eastAsia="仿宋_GB2312" w:cs="仿宋_GB2312"/>
          <w:color w:val="auto"/>
          <w:kern w:val="0"/>
          <w:sz w:val="32"/>
          <w:szCs w:val="32"/>
          <w:highlight w:val="none"/>
          <w:lang w:val="en-US" w:eastAsia="zh-CN" w:bidi="ar-SA"/>
        </w:rPr>
        <w:t>31</w:t>
      </w:r>
      <w:r>
        <w:rPr>
          <w:rFonts w:hint="eastAsia" w:hAnsi="仿宋_GB2312" w:cs="仿宋_GB2312"/>
          <w:color w:val="auto"/>
          <w:kern w:val="0"/>
          <w:sz w:val="32"/>
          <w:szCs w:val="32"/>
          <w:highlight w:val="none"/>
          <w:lang w:val="en-US" w:eastAsia="zh-CN" w:bidi="ar-SA"/>
        </w:rPr>
        <w:t>亿</w:t>
      </w:r>
      <w:r>
        <w:rPr>
          <w:rFonts w:hint="eastAsia" w:ascii="仿宋_GB2312" w:hAnsi="仿宋_GB2312" w:eastAsia="仿宋_GB2312" w:cs="仿宋_GB2312"/>
          <w:color w:val="auto"/>
          <w:kern w:val="0"/>
          <w:sz w:val="32"/>
          <w:szCs w:val="32"/>
          <w:highlight w:val="none"/>
          <w:lang w:val="en-US" w:eastAsia="zh-CN" w:bidi="ar-SA"/>
        </w:rPr>
        <w:t>元，进一步增强了财力。</w:t>
      </w:r>
      <w:r>
        <w:rPr>
          <w:rFonts w:hint="eastAsia" w:ascii="仿宋_GB2312" w:hAnsi="仿宋_GB2312" w:eastAsia="仿宋_GB2312" w:cs="仿宋_GB2312"/>
          <w:b/>
          <w:bCs/>
          <w:color w:val="auto"/>
          <w:kern w:val="0"/>
          <w:sz w:val="32"/>
          <w:szCs w:val="32"/>
          <w:highlight w:val="none"/>
          <w:lang w:val="en-US" w:eastAsia="zh-CN" w:bidi="ar-SA"/>
        </w:rPr>
        <w:t>二是</w:t>
      </w:r>
      <w:r>
        <w:rPr>
          <w:rFonts w:hint="eastAsia" w:ascii="仿宋_GB2312" w:hAnsi="仿宋_GB2312" w:eastAsia="仿宋_GB2312" w:cs="仿宋_GB2312"/>
          <w:b w:val="0"/>
          <w:bCs w:val="0"/>
          <w:color w:val="auto"/>
          <w:kern w:val="2"/>
          <w:sz w:val="32"/>
          <w:szCs w:val="32"/>
          <w:highlight w:val="none"/>
          <w:lang w:val="en-US" w:eastAsia="zh-CN" w:bidi="ar-SA"/>
        </w:rPr>
        <w:t>多渠道争取上级资金。以项目为载体，充分发挥区重大项目办作用，加强项目谋划，</w:t>
      </w:r>
      <w:r>
        <w:rPr>
          <w:rFonts w:hint="eastAsia" w:ascii="仿宋_GB2312" w:hAnsi="仿宋_GB2312" w:eastAsia="仿宋_GB2312" w:cs="仿宋_GB2312"/>
          <w:b w:val="0"/>
          <w:bCs w:val="0"/>
          <w:color w:val="auto"/>
          <w:sz w:val="32"/>
          <w:szCs w:val="32"/>
          <w:highlight w:val="none"/>
          <w:lang w:val="en-US" w:eastAsia="zh-CN"/>
        </w:rPr>
        <w:t>做实项目前期工作，有序推进重大项目入库，夯实争取上级财力基础</w:t>
      </w:r>
      <w:r>
        <w:rPr>
          <w:rFonts w:hint="eastAsia" w:ascii="仿宋_GB2312" w:hAnsi="仿宋_GB2312" w:eastAsia="仿宋_GB2312" w:cs="仿宋_GB2312"/>
          <w:b w:val="0"/>
          <w:bCs w:val="0"/>
          <w:color w:val="auto"/>
          <w:kern w:val="0"/>
          <w:sz w:val="32"/>
          <w:szCs w:val="32"/>
          <w:highlight w:val="none"/>
          <w:lang w:val="en-US" w:eastAsia="zh-CN" w:bidi="ar-SA"/>
        </w:rPr>
        <w:t>，上半年共争取上级转移补助收入13.24亿元</w:t>
      </w:r>
      <w:r>
        <w:rPr>
          <w:rFonts w:hint="eastAsia" w:hAnsi="仿宋_GB2312" w:cs="仿宋_GB2312"/>
          <w:b w:val="0"/>
          <w:bCs w:val="0"/>
          <w:color w:val="auto"/>
          <w:kern w:val="0"/>
          <w:sz w:val="32"/>
          <w:szCs w:val="32"/>
          <w:highlight w:val="none"/>
          <w:lang w:val="en-US" w:eastAsia="zh-CN" w:bidi="ar-SA"/>
        </w:rPr>
        <w:t>，其中一般公共预算</w:t>
      </w:r>
      <w:r>
        <w:rPr>
          <w:rFonts w:hint="eastAsia" w:ascii="仿宋_GB2312" w:hAnsi="仿宋_GB2312" w:eastAsia="仿宋_GB2312" w:cs="仿宋_GB2312"/>
          <w:b w:val="0"/>
          <w:bCs w:val="0"/>
          <w:color w:val="auto"/>
          <w:kern w:val="0"/>
          <w:sz w:val="32"/>
          <w:szCs w:val="32"/>
          <w:highlight w:val="none"/>
          <w:lang w:val="en-US" w:eastAsia="zh-CN" w:bidi="ar-SA"/>
        </w:rPr>
        <w:t>补助收入</w:t>
      </w:r>
      <w:r>
        <w:rPr>
          <w:rFonts w:hint="eastAsia" w:hAnsi="仿宋_GB2312" w:cs="仿宋_GB2312"/>
          <w:b w:val="0"/>
          <w:bCs w:val="0"/>
          <w:color w:val="auto"/>
          <w:kern w:val="0"/>
          <w:sz w:val="32"/>
          <w:szCs w:val="32"/>
          <w:highlight w:val="none"/>
          <w:lang w:val="en-US" w:eastAsia="zh-CN" w:bidi="ar-SA"/>
        </w:rPr>
        <w:t>4.68亿元，政府性基金</w:t>
      </w:r>
      <w:r>
        <w:rPr>
          <w:rFonts w:hint="eastAsia" w:ascii="仿宋_GB2312" w:hAnsi="仿宋_GB2312" w:eastAsia="仿宋_GB2312" w:cs="仿宋_GB2312"/>
          <w:b w:val="0"/>
          <w:bCs w:val="0"/>
          <w:color w:val="auto"/>
          <w:kern w:val="0"/>
          <w:sz w:val="32"/>
          <w:szCs w:val="32"/>
          <w:highlight w:val="none"/>
          <w:lang w:val="en-US" w:eastAsia="zh-CN" w:bidi="ar-SA"/>
        </w:rPr>
        <w:t>补助收入</w:t>
      </w:r>
      <w:r>
        <w:rPr>
          <w:rFonts w:hint="eastAsia" w:hAnsi="仿宋_GB2312" w:cs="仿宋_GB2312"/>
          <w:b w:val="0"/>
          <w:bCs w:val="0"/>
          <w:color w:val="auto"/>
          <w:kern w:val="0"/>
          <w:sz w:val="32"/>
          <w:szCs w:val="32"/>
          <w:highlight w:val="none"/>
          <w:lang w:val="en-US" w:eastAsia="zh-CN" w:bidi="ar-SA"/>
        </w:rPr>
        <w:t>8.56亿元</w:t>
      </w:r>
      <w:r>
        <w:rPr>
          <w:rFonts w:hint="eastAsia" w:ascii="仿宋_GB2312" w:hAnsi="仿宋_GB2312" w:eastAsia="仿宋_GB2312" w:cs="仿宋_GB2312"/>
          <w:b w:val="0"/>
          <w:bCs w:val="0"/>
          <w:color w:val="auto"/>
          <w:kern w:val="0"/>
          <w:sz w:val="32"/>
          <w:szCs w:val="32"/>
          <w:highlight w:val="none"/>
          <w:lang w:val="en-US" w:eastAsia="zh-CN" w:bidi="ar-SA"/>
        </w:rPr>
        <w:t>。</w:t>
      </w:r>
      <w:r>
        <w:rPr>
          <w:rFonts w:hint="eastAsia" w:ascii="仿宋_GB2312" w:hAnsi="仿宋_GB2312" w:eastAsia="仿宋_GB2312" w:cs="仿宋_GB2312"/>
          <w:b/>
          <w:bCs/>
          <w:color w:val="auto"/>
          <w:kern w:val="0"/>
          <w:sz w:val="32"/>
          <w:szCs w:val="32"/>
          <w:highlight w:val="none"/>
          <w:lang w:val="en-US" w:eastAsia="zh-CN" w:bidi="ar-SA"/>
        </w:rPr>
        <w:t>三是</w:t>
      </w:r>
      <w:r>
        <w:rPr>
          <w:rFonts w:hint="eastAsia" w:ascii="仿宋_GB2312" w:hAnsi="仿宋_GB2312" w:eastAsia="仿宋_GB2312" w:cs="仿宋_GB2312"/>
          <w:b w:val="0"/>
          <w:bCs w:val="0"/>
          <w:color w:val="auto"/>
          <w:kern w:val="2"/>
          <w:sz w:val="32"/>
          <w:szCs w:val="32"/>
          <w:highlight w:val="none"/>
          <w:lang w:val="en-US" w:eastAsia="zh-CN" w:bidi="ar-SA"/>
        </w:rPr>
        <w:t>盘活财政存量资金。开展单位实有账户财政存量资金“清零”式回</w:t>
      </w:r>
      <w:r>
        <w:rPr>
          <w:rFonts w:hint="eastAsia" w:ascii="仿宋_GB2312" w:hAnsi="仿宋_GB2312" w:eastAsia="仿宋_GB2312" w:cs="仿宋_GB2312"/>
          <w:color w:val="auto"/>
          <w:kern w:val="0"/>
          <w:sz w:val="32"/>
          <w:szCs w:val="32"/>
          <w:highlight w:val="none"/>
          <w:lang w:val="en-US" w:eastAsia="zh-CN" w:bidi="ar-SA"/>
        </w:rPr>
        <w:t>收，盘活沉淀资金。上半年收回单位存量资金316万元，盘活财政存量资金</w:t>
      </w:r>
      <w:r>
        <w:rPr>
          <w:rFonts w:hint="eastAsia" w:hAnsi="仿宋_GB2312" w:cs="仿宋_GB2312"/>
          <w:color w:val="auto"/>
          <w:kern w:val="0"/>
          <w:sz w:val="32"/>
          <w:szCs w:val="32"/>
          <w:highlight w:val="none"/>
          <w:lang w:val="en-US" w:eastAsia="zh-CN" w:bidi="ar-SA"/>
        </w:rPr>
        <w:t>0.</w:t>
      </w:r>
      <w:r>
        <w:rPr>
          <w:rFonts w:hint="eastAsia" w:ascii="仿宋_GB2312" w:hAnsi="仿宋_GB2312" w:eastAsia="仿宋_GB2312" w:cs="仿宋_GB2312"/>
          <w:color w:val="auto"/>
          <w:kern w:val="0"/>
          <w:sz w:val="32"/>
          <w:szCs w:val="32"/>
          <w:highlight w:val="none"/>
          <w:lang w:val="en-US" w:eastAsia="zh-CN" w:bidi="ar-SA"/>
        </w:rPr>
        <w:t>7</w:t>
      </w:r>
      <w:r>
        <w:rPr>
          <w:rFonts w:hint="eastAsia" w:hAnsi="仿宋_GB2312" w:cs="仿宋_GB2312"/>
          <w:color w:val="auto"/>
          <w:kern w:val="0"/>
          <w:sz w:val="32"/>
          <w:szCs w:val="32"/>
          <w:highlight w:val="none"/>
          <w:lang w:val="en-US" w:eastAsia="zh-CN" w:bidi="ar-SA"/>
        </w:rPr>
        <w:t>7亿</w:t>
      </w:r>
      <w:r>
        <w:rPr>
          <w:rFonts w:hint="eastAsia" w:ascii="仿宋_GB2312" w:hAnsi="仿宋_GB2312" w:eastAsia="仿宋_GB2312" w:cs="仿宋_GB2312"/>
          <w:color w:val="auto"/>
          <w:kern w:val="0"/>
          <w:sz w:val="32"/>
          <w:szCs w:val="32"/>
          <w:highlight w:val="none"/>
          <w:lang w:val="en-US" w:eastAsia="zh-CN" w:bidi="ar-SA"/>
        </w:rPr>
        <w:t>元，有效的充实财政可利用资金，使得财政存量资金“活起来”，充分发挥资金使用效益。</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（二）促消费，扩投资，强基础</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仿宋_GB2312" w:hAnsi="仿宋_GB2312" w:eastAsia="仿宋_GB2312" w:cs="仿宋_GB2312"/>
          <w:b w:val="0"/>
          <w:bCs w:val="0"/>
          <w:color w:val="auto"/>
          <w:kern w:val="0"/>
          <w:sz w:val="32"/>
          <w:szCs w:val="32"/>
          <w:highlight w:val="none"/>
          <w:lang w:val="en-US" w:eastAsia="zh-CN" w:bidi="ar-SA"/>
        </w:rPr>
        <w:t>多措并举促进消费增长。</w:t>
      </w:r>
      <w:r>
        <w:rPr>
          <w:rFonts w:hint="eastAsia" w:ascii="仿宋_GB2312" w:hAnsi="仿宋_GB2312" w:eastAsia="仿宋_GB2312" w:cs="仿宋_GB2312"/>
          <w:b w:val="0"/>
          <w:bCs w:val="0"/>
          <w:i w:val="0"/>
          <w:iCs w:val="0"/>
          <w:color w:val="auto"/>
          <w:kern w:val="2"/>
          <w:sz w:val="32"/>
          <w:szCs w:val="32"/>
          <w:highlight w:val="none"/>
          <w:lang w:val="en-US" w:eastAsia="zh-CN" w:bidi="ar-SA"/>
        </w:rPr>
        <w:t>全面落实促进文旅消费行动50条措施，“担保即提”“即购即提”新政落地，中免三亚凤凰机场免税店二期正式开业，联动全省十余家5A、4A风景区，超80家五星级高端度假酒店加盟，实现过夜旅游收入20.34亿元。</w:t>
      </w:r>
      <w:r>
        <w:rPr>
          <w:rFonts w:hint="eastAsia" w:ascii="仿宋_GB2312" w:hAnsi="仿宋_GB2312" w:eastAsia="仿宋_GB2312" w:cs="仿宋_GB2312"/>
          <w:b/>
          <w:bCs/>
          <w:color w:val="auto"/>
          <w:kern w:val="0"/>
          <w:sz w:val="32"/>
          <w:szCs w:val="32"/>
          <w:highlight w:val="none"/>
          <w:lang w:val="en-US" w:eastAsia="zh-CN" w:bidi="ar-SA"/>
        </w:rPr>
        <w:t>二是</w:t>
      </w:r>
      <w:r>
        <w:rPr>
          <w:rFonts w:hint="eastAsia" w:ascii="仿宋_GB2312" w:hAnsi="仿宋_GB2312" w:eastAsia="仿宋_GB2312" w:cs="仿宋_GB2312"/>
          <w:b w:val="0"/>
          <w:bCs w:val="0"/>
          <w:color w:val="auto"/>
          <w:kern w:val="2"/>
          <w:sz w:val="32"/>
          <w:szCs w:val="32"/>
          <w:highlight w:val="none"/>
          <w:lang w:val="en-US" w:eastAsia="zh-CN" w:bidi="ar-SA"/>
        </w:rPr>
        <w:t>千方百计抓招商工作。开展上门招商，签约蓝</w:t>
      </w:r>
      <w:r>
        <w:rPr>
          <w:rFonts w:hint="eastAsia" w:hAnsi="仿宋_GB2312" w:cs="仿宋_GB2312"/>
          <w:b w:val="0"/>
          <w:bCs w:val="0"/>
          <w:color w:val="auto"/>
          <w:kern w:val="2"/>
          <w:sz w:val="32"/>
          <w:szCs w:val="32"/>
          <w:highlight w:val="none"/>
          <w:lang w:val="en-US" w:eastAsia="zh-CN" w:bidi="ar-SA"/>
        </w:rPr>
        <w:t>带啤酒等项目</w:t>
      </w:r>
      <w:r>
        <w:rPr>
          <w:rFonts w:hint="eastAsia" w:ascii="仿宋_GB2312" w:hAnsi="仿宋_GB2312" w:eastAsia="仿宋_GB2312" w:cs="仿宋_GB2312"/>
          <w:b w:val="0"/>
          <w:bCs w:val="0"/>
          <w:color w:val="auto"/>
          <w:kern w:val="2"/>
          <w:sz w:val="32"/>
          <w:szCs w:val="32"/>
          <w:highlight w:val="none"/>
          <w:lang w:val="en-US" w:eastAsia="zh-CN" w:bidi="ar-SA"/>
        </w:rPr>
        <w:t>；不断提高政务服务办事效率，持续优化营商环境</w:t>
      </w:r>
      <w:r>
        <w:rPr>
          <w:rFonts w:hint="eastAsia" w:ascii="仿宋_GB2312" w:hAnsi="仿宋_GB2312" w:eastAsia="仿宋_GB2312" w:cs="仿宋_GB2312"/>
          <w:b w:val="0"/>
          <w:bCs w:val="0"/>
          <w:i w:val="0"/>
          <w:iCs w:val="0"/>
          <w:color w:val="auto"/>
          <w:kern w:val="2"/>
          <w:sz w:val="32"/>
          <w:szCs w:val="32"/>
          <w:highlight w:val="none"/>
          <w:lang w:val="en-US" w:eastAsia="zh-CN" w:bidi="ar-SA"/>
        </w:rPr>
        <w:t>。上半年累计新增市场主体7</w:t>
      </w:r>
      <w:r>
        <w:rPr>
          <w:rFonts w:hint="eastAsia" w:ascii="仿宋_GB2312" w:hAnsi="仿宋_GB2312" w:eastAsia="仿宋_GB2312" w:cs="仿宋_GB2312"/>
          <w:color w:val="auto"/>
          <w:kern w:val="0"/>
          <w:sz w:val="32"/>
          <w:szCs w:val="32"/>
          <w:highlight w:val="none"/>
          <w:lang w:val="en-US" w:eastAsia="zh-CN" w:bidi="ar-SA"/>
        </w:rPr>
        <w:t>,</w:t>
      </w:r>
      <w:r>
        <w:rPr>
          <w:rFonts w:hint="eastAsia" w:ascii="仿宋_GB2312" w:hAnsi="仿宋_GB2312" w:eastAsia="仿宋_GB2312" w:cs="仿宋_GB2312"/>
          <w:b w:val="0"/>
          <w:bCs w:val="0"/>
          <w:i w:val="0"/>
          <w:iCs w:val="0"/>
          <w:color w:val="auto"/>
          <w:kern w:val="2"/>
          <w:sz w:val="32"/>
          <w:szCs w:val="32"/>
          <w:highlight w:val="none"/>
          <w:lang w:val="en-US" w:eastAsia="zh-CN" w:bidi="ar-SA"/>
        </w:rPr>
        <w:t>298家，总注册资本额达到163.6亿元，切实做大税收盘子。</w:t>
      </w:r>
      <w:r>
        <w:rPr>
          <w:rFonts w:hint="eastAsia" w:ascii="仿宋_GB2312" w:hAnsi="仿宋_GB2312" w:eastAsia="仿宋_GB2312" w:cs="仿宋_GB2312"/>
          <w:b/>
          <w:bCs/>
          <w:color w:val="auto"/>
          <w:kern w:val="0"/>
          <w:sz w:val="32"/>
          <w:szCs w:val="32"/>
          <w:highlight w:val="none"/>
          <w:lang w:val="en-US" w:eastAsia="zh-CN" w:bidi="ar-SA"/>
        </w:rPr>
        <w:t>三是</w:t>
      </w:r>
      <w:r>
        <w:rPr>
          <w:rFonts w:hint="eastAsia" w:ascii="仿宋_GB2312" w:hAnsi="仿宋_GB2312" w:eastAsia="仿宋_GB2312" w:cs="仿宋_GB2312"/>
          <w:b w:val="0"/>
          <w:bCs w:val="0"/>
          <w:color w:val="auto"/>
          <w:kern w:val="2"/>
          <w:sz w:val="32"/>
          <w:szCs w:val="32"/>
          <w:highlight w:val="none"/>
          <w:lang w:val="en-US" w:eastAsia="zh-CN" w:bidi="ar-SA"/>
        </w:rPr>
        <w:t>全力以赴稳投资增长。争取到市政府投资资金1.85亿元保障妙林片区安置区等项目建设。安排地债资金1.41亿元支持文化多馆合一项目、高峰医院等建设</w:t>
      </w:r>
      <w:r>
        <w:rPr>
          <w:rFonts w:hint="eastAsia" w:ascii="仿宋_GB2312" w:hAnsi="仿宋_GB2312" w:eastAsia="仿宋_GB2312" w:cs="仿宋_GB2312"/>
          <w:b w:val="0"/>
          <w:bCs w:val="0"/>
          <w:i w:val="0"/>
          <w:iCs w:val="0"/>
          <w:color w:val="auto"/>
          <w:kern w:val="2"/>
          <w:sz w:val="32"/>
          <w:szCs w:val="32"/>
          <w:highlight w:val="none"/>
          <w:lang w:val="en-US" w:eastAsia="zh-CN" w:bidi="ar-SA"/>
        </w:rPr>
        <w:t>。利用土储资金3.09亿元全力推进抱坡新城（北区）棚户区改造项目、三亚综合物流园等征拆。</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（三）注动力，优产业，提品质</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pacing w:val="0"/>
          <w:w w:val="100"/>
          <w:kern w:val="2"/>
          <w:sz w:val="32"/>
          <w:szCs w:val="32"/>
          <w:highlight w:val="none"/>
          <w:lang w:val="en-US" w:eastAsia="zh-CN"/>
        </w:rPr>
      </w:pPr>
      <w:r>
        <w:rPr>
          <w:rFonts w:hint="eastAsia" w:hAnsi="仿宋_GB2312" w:cs="仿宋_GB2312"/>
          <w:b/>
          <w:bCs/>
          <w:color w:val="auto"/>
          <w:sz w:val="32"/>
          <w:szCs w:val="32"/>
          <w:highlight w:val="none"/>
          <w:lang w:val="en-US" w:eastAsia="zh-CN"/>
        </w:rPr>
        <w:t>一是</w:t>
      </w:r>
      <w:r>
        <w:rPr>
          <w:rFonts w:hint="eastAsia" w:hAnsi="仿宋_GB2312" w:cs="仿宋_GB2312"/>
          <w:color w:val="auto"/>
          <w:sz w:val="32"/>
          <w:szCs w:val="32"/>
          <w:highlight w:val="none"/>
          <w:lang w:val="en-US" w:eastAsia="zh-CN"/>
        </w:rPr>
        <w:t>支持推动现代服务业提质升级。</w:t>
      </w:r>
      <w:r>
        <w:rPr>
          <w:rFonts w:hint="eastAsia" w:hAnsi="仿宋_GB2312" w:cs="仿宋_GB2312"/>
          <w:b w:val="0"/>
          <w:bCs w:val="0"/>
          <w:color w:val="auto"/>
          <w:kern w:val="2"/>
          <w:sz w:val="32"/>
          <w:szCs w:val="32"/>
          <w:highlight w:val="none"/>
          <w:lang w:val="en-US" w:eastAsia="zh-CN" w:bidi="ar-SA"/>
        </w:rPr>
        <w:t>加大资金保障力度</w:t>
      </w:r>
      <w:r>
        <w:rPr>
          <w:rFonts w:hint="eastAsia" w:ascii="仿宋_GB2312" w:hAnsi="仿宋_GB2312" w:eastAsia="仿宋_GB2312" w:cs="仿宋_GB2312"/>
          <w:b w:val="0"/>
          <w:bCs w:val="0"/>
          <w:color w:val="auto"/>
          <w:sz w:val="32"/>
          <w:szCs w:val="32"/>
          <w:highlight w:val="none"/>
          <w:lang w:val="en-US" w:eastAsia="zh-CN"/>
        </w:rPr>
        <w:t>，推动重点产业链供应链补链强链。上半年，对企业补助支出</w:t>
      </w:r>
      <w:r>
        <w:rPr>
          <w:rFonts w:hint="eastAsia" w:hAnsi="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lang w:val="en-US" w:eastAsia="zh-CN"/>
        </w:rPr>
        <w:t>32</w:t>
      </w:r>
      <w:r>
        <w:rPr>
          <w:rFonts w:hint="eastAsia" w:hAnsi="仿宋_GB2312" w:cs="仿宋_GB2312"/>
          <w:b w:val="0"/>
          <w:bCs w:val="0"/>
          <w:color w:val="auto"/>
          <w:sz w:val="32"/>
          <w:szCs w:val="32"/>
          <w:highlight w:val="none"/>
          <w:lang w:val="en-US" w:eastAsia="zh-CN"/>
        </w:rPr>
        <w:t>亿</w:t>
      </w:r>
      <w:r>
        <w:rPr>
          <w:rFonts w:hint="eastAsia" w:ascii="仿宋_GB2312" w:hAnsi="仿宋_GB2312" w:eastAsia="仿宋_GB2312" w:cs="仿宋_GB2312"/>
          <w:b w:val="0"/>
          <w:bCs w:val="0"/>
          <w:color w:val="auto"/>
          <w:sz w:val="32"/>
          <w:szCs w:val="32"/>
          <w:highlight w:val="none"/>
          <w:lang w:val="en-US" w:eastAsia="zh-CN"/>
        </w:rPr>
        <w:t>元</w:t>
      </w:r>
      <w:r>
        <w:rPr>
          <w:rFonts w:hint="eastAsia"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同比增长243.7%。</w:t>
      </w:r>
      <w:r>
        <w:rPr>
          <w:rFonts w:hint="eastAsia" w:hAnsi="仿宋_GB2312" w:cs="仿宋_GB2312"/>
          <w:color w:val="auto"/>
          <w:sz w:val="32"/>
          <w:szCs w:val="32"/>
          <w:highlight w:val="none"/>
          <w:lang w:val="en-US" w:eastAsia="zh-CN"/>
        </w:rPr>
        <w:t>安排0.77亿元支持梅村产业园开发建设，构建“三核齐聚、两园联动、一区协同”的产业发展格局</w:t>
      </w:r>
      <w:r>
        <w:rPr>
          <w:rFonts w:hint="eastAsia" w:ascii="仿宋_GB2312" w:hAnsi="仿宋_GB2312" w:eastAsia="仿宋_GB2312" w:cs="仿宋_GB2312"/>
          <w:color w:val="auto"/>
          <w:sz w:val="32"/>
          <w:szCs w:val="32"/>
          <w:highlight w:val="none"/>
          <w:lang w:val="en-US" w:eastAsia="zh-CN"/>
        </w:rPr>
        <w:t>。发挥总部经济作用，加快紫金国际中心、大唐三亚国际总部基地项目建设，推动现代服务业聚集。</w:t>
      </w:r>
      <w:r>
        <w:rPr>
          <w:rFonts w:hint="eastAsia" w:hAnsi="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支持培育经济发展新动能。</w:t>
      </w:r>
      <w:r>
        <w:rPr>
          <w:rFonts w:hint="eastAsia" w:hAnsi="仿宋_GB2312" w:cs="仿宋_GB2312"/>
          <w:color w:val="auto"/>
          <w:sz w:val="32"/>
          <w:szCs w:val="32"/>
          <w:highlight w:val="none"/>
          <w:lang w:val="en-US" w:eastAsia="zh-CN"/>
        </w:rPr>
        <w:t>依托遥感信息产业园等重点园区建设，加大知识产权生成培育和保护力度</w:t>
      </w:r>
      <w:r>
        <w:rPr>
          <w:rFonts w:hint="eastAsia" w:ascii="仿宋_GB2312" w:hAnsi="仿宋_GB2312" w:eastAsia="仿宋_GB2312" w:cs="仿宋_GB2312"/>
          <w:color w:val="auto"/>
          <w:sz w:val="32"/>
          <w:szCs w:val="32"/>
          <w:highlight w:val="none"/>
          <w:lang w:val="en-US" w:eastAsia="zh-CN"/>
        </w:rPr>
        <w:t>，</w:t>
      </w:r>
      <w:r>
        <w:rPr>
          <w:rFonts w:hint="eastAsia" w:hAnsi="仿宋_GB2312" w:cs="仿宋_GB2312"/>
          <w:color w:val="auto"/>
          <w:sz w:val="32"/>
          <w:szCs w:val="32"/>
          <w:highlight w:val="none"/>
          <w:lang w:val="en-US" w:eastAsia="zh-CN"/>
        </w:rPr>
        <w:t>推动高新技术企业及人才引进，</w:t>
      </w:r>
      <w:r>
        <w:rPr>
          <w:rFonts w:hint="eastAsia" w:ascii="仿宋_GB2312" w:hAnsi="仿宋_GB2312" w:eastAsia="仿宋_GB2312" w:cs="仿宋_GB2312"/>
          <w:color w:val="auto"/>
          <w:sz w:val="32"/>
          <w:szCs w:val="32"/>
          <w:highlight w:val="none"/>
          <w:lang w:val="en-US" w:eastAsia="zh-CN"/>
        </w:rPr>
        <w:t>助力打造战略性新兴产业增长引擎。</w:t>
      </w:r>
      <w:r>
        <w:rPr>
          <w:rFonts w:hint="eastAsia"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是</w:t>
      </w:r>
      <w:r>
        <w:rPr>
          <w:rFonts w:hint="eastAsia" w:hAnsi="仿宋_GB2312" w:cs="仿宋_GB2312"/>
          <w:b w:val="0"/>
          <w:bCs w:val="0"/>
          <w:color w:val="auto"/>
          <w:kern w:val="2"/>
          <w:sz w:val="32"/>
          <w:szCs w:val="32"/>
          <w:highlight w:val="none"/>
          <w:lang w:val="en-US" w:eastAsia="zh-CN" w:bidi="ar-SA"/>
        </w:rPr>
        <w:t>支持旅游业转型升级</w:t>
      </w:r>
      <w:r>
        <w:rPr>
          <w:rFonts w:hint="eastAsia" w:ascii="仿宋_GB2312" w:hAnsi="仿宋_GB2312" w:eastAsia="仿宋_GB2312" w:cs="仿宋_GB2312"/>
          <w:b w:val="0"/>
          <w:bCs w:val="0"/>
          <w:color w:val="auto"/>
          <w:kern w:val="2"/>
          <w:sz w:val="32"/>
          <w:szCs w:val="32"/>
          <w:highlight w:val="none"/>
          <w:lang w:val="en-US" w:eastAsia="zh-CN" w:bidi="ar-SA"/>
        </w:rPr>
        <w:t>。提升三亚湾旅游消费集聚区，不断优化全域旅游发展</w:t>
      </w:r>
      <w:r>
        <w:rPr>
          <w:rFonts w:hint="eastAsia" w:ascii="仿宋_GB2312" w:hAnsi="仿宋_GB2312" w:eastAsia="仿宋_GB2312" w:cs="仿宋_GB2312"/>
          <w:b w:val="0"/>
          <w:bCs w:val="0"/>
          <w:color w:val="auto"/>
          <w:spacing w:val="0"/>
          <w:w w:val="100"/>
          <w:kern w:val="2"/>
          <w:sz w:val="32"/>
          <w:szCs w:val="32"/>
          <w:highlight w:val="none"/>
          <w:lang w:val="en-US" w:eastAsia="zh-CN"/>
        </w:rPr>
        <w:t>。依托三亚湾优势资源，大力发展文化体育旅游、低空旅游、海岛旅游等旅游消费新业态。积极整合旅游资源，推动天涯小镇文旅融合、“美食文化+旅游”融合发展，建设“天涯宿集”民宿品牌。安排</w:t>
      </w:r>
      <w:r>
        <w:rPr>
          <w:rFonts w:hint="eastAsia" w:hAnsi="仿宋_GB2312" w:cs="仿宋_GB2312"/>
          <w:b w:val="0"/>
          <w:bCs w:val="0"/>
          <w:color w:val="auto"/>
          <w:spacing w:val="0"/>
          <w:w w:val="100"/>
          <w:kern w:val="2"/>
          <w:sz w:val="32"/>
          <w:szCs w:val="32"/>
          <w:highlight w:val="none"/>
          <w:lang w:val="en-US" w:eastAsia="zh-CN"/>
        </w:rPr>
        <w:t>0.</w:t>
      </w:r>
      <w:r>
        <w:rPr>
          <w:rFonts w:hint="eastAsia" w:ascii="仿宋_GB2312" w:hAnsi="仿宋_GB2312" w:eastAsia="仿宋_GB2312" w:cs="仿宋_GB2312"/>
          <w:b w:val="0"/>
          <w:bCs w:val="0"/>
          <w:color w:val="auto"/>
          <w:spacing w:val="0"/>
          <w:w w:val="100"/>
          <w:kern w:val="2"/>
          <w:sz w:val="32"/>
          <w:szCs w:val="32"/>
          <w:highlight w:val="none"/>
          <w:lang w:val="en-US" w:eastAsia="zh-CN"/>
        </w:rPr>
        <w:t>95</w:t>
      </w:r>
      <w:r>
        <w:rPr>
          <w:rFonts w:hint="eastAsia" w:hAnsi="仿宋_GB2312" w:cs="仿宋_GB2312"/>
          <w:b w:val="0"/>
          <w:bCs w:val="0"/>
          <w:color w:val="auto"/>
          <w:spacing w:val="0"/>
          <w:w w:val="100"/>
          <w:kern w:val="2"/>
          <w:sz w:val="32"/>
          <w:szCs w:val="32"/>
          <w:highlight w:val="none"/>
          <w:lang w:val="en-US" w:eastAsia="zh-CN"/>
        </w:rPr>
        <w:t>亿</w:t>
      </w:r>
      <w:r>
        <w:rPr>
          <w:rFonts w:hint="eastAsia" w:ascii="仿宋_GB2312" w:hAnsi="仿宋_GB2312" w:eastAsia="仿宋_GB2312" w:cs="仿宋_GB2312"/>
          <w:b w:val="0"/>
          <w:bCs w:val="0"/>
          <w:color w:val="auto"/>
          <w:spacing w:val="0"/>
          <w:w w:val="100"/>
          <w:kern w:val="2"/>
          <w:sz w:val="32"/>
          <w:szCs w:val="32"/>
          <w:highlight w:val="none"/>
          <w:lang w:val="en-US" w:eastAsia="zh-CN"/>
        </w:rPr>
        <w:t>元保障凤凰机场T3航站楼及配套设施等重大项目征拆工作，做好封关运作准备。</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Times New Roman"/>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（四）兜底线，促公平，保民生</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3"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一是</w:t>
      </w:r>
      <w:r>
        <w:rPr>
          <w:rFonts w:hint="eastAsia" w:ascii="仿宋_GB2312" w:hAnsi="仿宋_GB2312" w:eastAsia="仿宋_GB2312" w:cs="仿宋_GB2312"/>
          <w:b w:val="0"/>
          <w:bCs w:val="0"/>
          <w:color w:val="auto"/>
          <w:kern w:val="2"/>
          <w:sz w:val="32"/>
          <w:szCs w:val="32"/>
          <w:highlight w:val="none"/>
          <w:lang w:val="en-US" w:eastAsia="zh-CN" w:bidi="ar-SA"/>
        </w:rPr>
        <w:t>办好人民满意的教育。教</w:t>
      </w:r>
      <w:r>
        <w:rPr>
          <w:rFonts w:hint="eastAsia" w:ascii="仿宋_GB2312" w:hAnsi="仿宋_GB2312" w:eastAsia="仿宋_GB2312" w:cs="仿宋_GB2312"/>
          <w:color w:val="auto"/>
          <w:sz w:val="32"/>
          <w:szCs w:val="32"/>
          <w:highlight w:val="none"/>
        </w:rPr>
        <w:t>育是持续发展的基石，也是衡量民生幸福指数的标尺。今年以来，天涯区委、区政府高度重视教育工作，坚持以“办人民满意的教育”为目标，强化政治担当、创新工作思路</w:t>
      </w:r>
      <w:r>
        <w:rPr>
          <w:rFonts w:hint="eastAsia" w:ascii="仿宋_GB2312" w:hAnsi="仿宋_GB2312" w:eastAsia="仿宋_GB2312" w:cs="仿宋_GB2312"/>
          <w:color w:val="auto"/>
          <w:kern w:val="0"/>
          <w:sz w:val="32"/>
          <w:szCs w:val="32"/>
          <w:highlight w:val="none"/>
          <w:lang w:val="en-US" w:eastAsia="zh-CN" w:bidi="ar-SA"/>
        </w:rPr>
        <w:t>、聚力攻坚克难，在优化教育布局、整顿教师队伍、突破发展瓶颈等方面持续发力，全力推动教育事业高质量发展。今年上半年教育累计支出2</w:t>
      </w:r>
      <w:r>
        <w:rPr>
          <w:rFonts w:hint="eastAsia" w:hAnsi="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1</w:t>
      </w:r>
      <w:r>
        <w:rPr>
          <w:rFonts w:hint="eastAsia" w:hAnsi="仿宋_GB2312" w:cs="仿宋_GB2312"/>
          <w:color w:val="auto"/>
          <w:kern w:val="0"/>
          <w:sz w:val="32"/>
          <w:szCs w:val="32"/>
          <w:highlight w:val="none"/>
          <w:lang w:val="en-US" w:eastAsia="zh-CN" w:bidi="ar-SA"/>
        </w:rPr>
        <w:t>6亿</w:t>
      </w:r>
      <w:r>
        <w:rPr>
          <w:rFonts w:hint="eastAsia" w:ascii="仿宋_GB2312" w:hAnsi="仿宋_GB2312" w:eastAsia="仿宋_GB2312" w:cs="仿宋_GB2312"/>
          <w:color w:val="auto"/>
          <w:kern w:val="0"/>
          <w:sz w:val="32"/>
          <w:szCs w:val="32"/>
          <w:highlight w:val="none"/>
          <w:lang w:val="en-US" w:eastAsia="zh-CN" w:bidi="ar-SA"/>
        </w:rPr>
        <w:t>元，同比增长16.3%。</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Times New Roman" w:hAnsi="Times New Roman" w:cs="Times New Roman"/>
          <w:b/>
          <w:bCs/>
          <w:color w:val="auto"/>
          <w:sz w:val="32"/>
          <w:szCs w:val="32"/>
          <w:highlight w:val="none"/>
          <w:lang w:val="en-US" w:eastAsia="zh-CN"/>
        </w:rPr>
        <w:t>二是</w:t>
      </w:r>
      <w:r>
        <w:rPr>
          <w:rFonts w:hint="eastAsia" w:ascii="仿宋_GB2312" w:hAnsi="仿宋_GB2312" w:eastAsia="仿宋_GB2312" w:cs="仿宋_GB2312"/>
          <w:b w:val="0"/>
          <w:bCs w:val="0"/>
          <w:color w:val="auto"/>
          <w:kern w:val="2"/>
          <w:sz w:val="32"/>
          <w:szCs w:val="32"/>
          <w:highlight w:val="none"/>
          <w:lang w:val="en-US" w:eastAsia="zh-CN" w:bidi="ar-SA"/>
        </w:rPr>
        <w:t>提高基层医疗水平。坚持以</w:t>
      </w:r>
      <w:r>
        <w:rPr>
          <w:rFonts w:hint="eastAsia" w:ascii="仿宋_GB2312" w:hAnsi="仿宋_GB2312" w:eastAsia="仿宋_GB2312" w:cs="仿宋_GB2312"/>
          <w:color w:val="auto"/>
          <w:sz w:val="32"/>
          <w:szCs w:val="32"/>
          <w:highlight w:val="none"/>
        </w:rPr>
        <w:t>人民为中心，把全民健康放在优先发展的战略位置，持续深化医疗卫生体制改革，优化整合医疗资源，逐步补齐医疗基础设施短板，不断完善医疗卫生服务体系，为天涯区经济社会高质量发展提供强劲的民生保障。在全省率先组建三亚中心医院天涯医疗集团</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建立区属医疗机构与中心医院顺畅的双向转诊机制</w:t>
      </w:r>
      <w:r>
        <w:rPr>
          <w:rFonts w:hint="eastAsia" w:ascii="仿宋_GB2312" w:hAnsi="仿宋_GB2312" w:eastAsia="仿宋_GB2312" w:cs="仿宋_GB2312"/>
          <w:color w:val="auto"/>
          <w:kern w:val="0"/>
          <w:sz w:val="32"/>
          <w:szCs w:val="32"/>
          <w:highlight w:val="none"/>
          <w:lang w:val="en-US" w:eastAsia="zh-CN" w:bidi="ar-SA"/>
        </w:rPr>
        <w:t>，凤凰卫生院和马岭卫生院全科住院部相继启动，天涯区统筹区域内医疗资源，借助中心医院医疗集团力量，推动提升区域内基层医疗卫生机构水平。上半年卫生健康累计支出</w:t>
      </w:r>
      <w:r>
        <w:rPr>
          <w:rFonts w:hint="eastAsia" w:hAnsi="仿宋_GB2312" w:cs="仿宋_GB2312"/>
          <w:color w:val="auto"/>
          <w:kern w:val="0"/>
          <w:sz w:val="32"/>
          <w:szCs w:val="32"/>
          <w:highlight w:val="none"/>
          <w:lang w:val="en-US" w:eastAsia="zh-CN" w:bidi="ar-SA"/>
        </w:rPr>
        <w:t>0.</w:t>
      </w:r>
      <w:r>
        <w:rPr>
          <w:rFonts w:hint="eastAsia" w:ascii="仿宋_GB2312" w:hAnsi="仿宋_GB2312" w:eastAsia="仿宋_GB2312" w:cs="仿宋_GB2312"/>
          <w:color w:val="auto"/>
          <w:kern w:val="0"/>
          <w:sz w:val="32"/>
          <w:szCs w:val="32"/>
          <w:highlight w:val="none"/>
          <w:lang w:val="en-US" w:eastAsia="zh-CN" w:bidi="ar-SA"/>
        </w:rPr>
        <w:t>62</w:t>
      </w:r>
      <w:r>
        <w:rPr>
          <w:rFonts w:hint="eastAsia" w:hAnsi="仿宋_GB2312" w:cs="仿宋_GB2312"/>
          <w:color w:val="auto"/>
          <w:kern w:val="0"/>
          <w:sz w:val="32"/>
          <w:szCs w:val="32"/>
          <w:highlight w:val="none"/>
          <w:lang w:val="en-US" w:eastAsia="zh-CN" w:bidi="ar-SA"/>
        </w:rPr>
        <w:t>亿</w:t>
      </w:r>
      <w:r>
        <w:rPr>
          <w:rFonts w:hint="eastAsia" w:ascii="仿宋_GB2312" w:hAnsi="仿宋_GB2312" w:eastAsia="仿宋_GB2312" w:cs="仿宋_GB2312"/>
          <w:color w:val="auto"/>
          <w:kern w:val="0"/>
          <w:sz w:val="32"/>
          <w:szCs w:val="32"/>
          <w:highlight w:val="none"/>
          <w:lang w:val="en-US" w:eastAsia="zh-CN" w:bidi="ar-SA"/>
        </w:rPr>
        <w:t>元，同比增长19.3%。</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color w:val="auto"/>
          <w:sz w:val="32"/>
          <w:szCs w:val="32"/>
          <w:highlight w:val="none"/>
          <w:lang w:val="en-US" w:eastAsia="zh-CN"/>
        </w:rPr>
      </w:pPr>
      <w:r>
        <w:rPr>
          <w:rFonts w:hint="eastAsia" w:ascii="Times New Roman" w:hAnsi="Times New Roman" w:cs="Times New Roman"/>
          <w:b/>
          <w:bCs/>
          <w:color w:val="auto"/>
          <w:sz w:val="32"/>
          <w:szCs w:val="32"/>
          <w:highlight w:val="none"/>
          <w:lang w:val="en-US" w:eastAsia="zh-CN"/>
        </w:rPr>
        <w:t>三是</w:t>
      </w:r>
      <w:r>
        <w:rPr>
          <w:rFonts w:hint="eastAsia" w:hAnsi="仿宋_GB2312" w:cs="仿宋_GB2312"/>
          <w:b w:val="0"/>
          <w:bCs w:val="0"/>
          <w:color w:val="auto"/>
          <w:kern w:val="2"/>
          <w:sz w:val="32"/>
          <w:szCs w:val="32"/>
          <w:highlight w:val="none"/>
          <w:lang w:val="en-US" w:eastAsia="zh-CN" w:bidi="ar-SA"/>
        </w:rPr>
        <w:t>提升住房保障水平</w:t>
      </w:r>
      <w:r>
        <w:rPr>
          <w:rFonts w:hint="eastAsia" w:ascii="仿宋_GB2312" w:hAnsi="仿宋_GB2312" w:eastAsia="仿宋_GB2312" w:cs="仿宋_GB2312"/>
          <w:b w:val="0"/>
          <w:bCs w:val="0"/>
          <w:color w:val="auto"/>
          <w:kern w:val="2"/>
          <w:sz w:val="32"/>
          <w:szCs w:val="32"/>
          <w:highlight w:val="none"/>
          <w:lang w:val="en-US" w:eastAsia="zh-CN" w:bidi="ar-SA"/>
        </w:rPr>
        <w:t>。以提升居</w:t>
      </w:r>
      <w:r>
        <w:rPr>
          <w:rFonts w:hint="eastAsia" w:ascii="Times New Roman" w:hAnsi="Times New Roman" w:cs="Times New Roman"/>
          <w:color w:val="auto"/>
          <w:sz w:val="32"/>
          <w:szCs w:val="32"/>
          <w:highlight w:val="none"/>
          <w:lang w:val="en-US" w:eastAsia="zh-CN"/>
        </w:rPr>
        <w:t>民生活品质为出发点和落脚点，将改善人民生活这项惠及千家万户的民生工程做实做细做好，着力提升居民的居住环</w:t>
      </w:r>
      <w:r>
        <w:rPr>
          <w:rFonts w:hint="eastAsia" w:ascii="仿宋_GB2312" w:hAnsi="仿宋_GB2312" w:eastAsia="仿宋_GB2312" w:cs="仿宋_GB2312"/>
          <w:color w:val="auto"/>
          <w:kern w:val="0"/>
          <w:sz w:val="32"/>
          <w:szCs w:val="32"/>
          <w:highlight w:val="none"/>
          <w:lang w:val="en-US" w:eastAsia="zh-CN" w:bidi="ar-SA"/>
        </w:rPr>
        <w:t>境和生活品质，不断增强群众的获得感、幸福感、安全感。</w:t>
      </w:r>
      <w:r>
        <w:rPr>
          <w:rFonts w:hint="eastAsia" w:ascii="Times New Roman" w:hAnsi="Times New Roman" w:cs="Times New Roman"/>
          <w:color w:val="auto"/>
          <w:sz w:val="32"/>
          <w:szCs w:val="32"/>
          <w:highlight w:val="none"/>
          <w:lang w:val="en-US" w:eastAsia="zh-CN"/>
        </w:rPr>
        <w:t>上半年实施改造59个老旧小区改造，其中29个小区分6个项目实施，30个小区分7个项目实施，涉及居民5914户，建筑面积约61.8万平方米，辐射10个社区，项目总投资约3.29亿元。</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cs="Times New Roman"/>
          <w:b/>
          <w:bCs/>
          <w:color w:val="auto"/>
          <w:sz w:val="32"/>
          <w:szCs w:val="32"/>
          <w:highlight w:val="none"/>
          <w:lang w:val="en-US" w:eastAsia="zh-CN"/>
        </w:rPr>
        <w:t>四是</w:t>
      </w:r>
      <w:r>
        <w:rPr>
          <w:rFonts w:hint="eastAsia" w:hAnsi="仿宋_GB2312" w:cs="仿宋_GB2312"/>
          <w:b w:val="0"/>
          <w:bCs w:val="0"/>
          <w:color w:val="auto"/>
          <w:kern w:val="2"/>
          <w:sz w:val="32"/>
          <w:szCs w:val="32"/>
          <w:highlight w:val="none"/>
          <w:lang w:val="en-US" w:eastAsia="zh-CN" w:bidi="ar-SA"/>
        </w:rPr>
        <w:t>加快推进农业农村现代化建设</w:t>
      </w:r>
      <w:r>
        <w:rPr>
          <w:rFonts w:hint="eastAsia" w:ascii="仿宋_GB2312" w:hAnsi="仿宋_GB2312" w:eastAsia="仿宋_GB2312" w:cs="仿宋_GB2312"/>
          <w:b w:val="0"/>
          <w:bCs w:val="0"/>
          <w:color w:val="auto"/>
          <w:kern w:val="2"/>
          <w:sz w:val="32"/>
          <w:szCs w:val="32"/>
          <w:highlight w:val="none"/>
          <w:lang w:val="en-US" w:eastAsia="zh-CN" w:bidi="ar-SA"/>
        </w:rPr>
        <w:t>。贯彻落实</w:t>
      </w:r>
      <w:r>
        <w:rPr>
          <w:rFonts w:hint="eastAsia" w:ascii="Times New Roman" w:hAnsi="Times New Roman" w:cs="Times New Roman"/>
          <w:color w:val="auto"/>
          <w:sz w:val="32"/>
          <w:szCs w:val="32"/>
          <w:highlight w:val="none"/>
          <w:lang w:val="en-US" w:eastAsia="zh-CN"/>
        </w:rPr>
        <w:t>乡村振兴战略，切实增强“三农”工作的责任感和使命感。把“三农”工作摆在重要位置来抓，充分运用“千万工程”经验，以更大力度和更实举措，推动乡村全面振兴不断取得新成效。全力推动“三农”重点工作任务落实，坚持把加强衔接资金管理作为巩固拓展脱贫攻坚成果同乡村振兴有效衔接的重要保障，多措并举，打好脱贫群众增收“组合拳”，加强农村集体经济建设。</w:t>
      </w:r>
      <w:r>
        <w:rPr>
          <w:rFonts w:hint="eastAsia" w:ascii="Times New Roman" w:hAnsi="Times New Roman" w:cs="Times New Roman"/>
          <w:color w:val="auto"/>
          <w:highlight w:val="none"/>
          <w:lang w:val="en-US" w:eastAsia="zh-CN"/>
        </w:rPr>
        <w:t>上半年</w:t>
      </w:r>
      <w:r>
        <w:rPr>
          <w:rFonts w:hint="eastAsia" w:ascii="Times New Roman" w:hAnsi="Times New Roman" w:eastAsia="仿宋_GB2312" w:cs="Times New Roman"/>
          <w:b w:val="0"/>
          <w:bCs w:val="0"/>
          <w:color w:val="auto"/>
          <w:kern w:val="2"/>
          <w:sz w:val="32"/>
          <w:szCs w:val="32"/>
          <w:highlight w:val="none"/>
          <w:lang w:val="en-US" w:eastAsia="zh-CN" w:bidi="ar-SA"/>
        </w:rPr>
        <w:t>，全区共收到上级下达</w:t>
      </w:r>
      <w:r>
        <w:rPr>
          <w:rFonts w:hint="eastAsia" w:ascii="仿宋_GB2312" w:hAnsi="仿宋_GB2312" w:eastAsia="仿宋_GB2312" w:cs="仿宋_GB2312"/>
          <w:color w:val="auto"/>
          <w:sz w:val="32"/>
          <w:szCs w:val="32"/>
          <w:highlight w:val="none"/>
          <w:lang w:val="en-US" w:eastAsia="zh-CN"/>
        </w:rPr>
        <w:t>安排衔</w:t>
      </w:r>
      <w:r>
        <w:rPr>
          <w:rFonts w:hint="eastAsia" w:ascii="仿宋_GB2312" w:hAnsi="仿宋_GB2312" w:eastAsia="仿宋_GB2312" w:cs="仿宋_GB2312"/>
          <w:color w:val="auto"/>
          <w:sz w:val="32"/>
          <w:szCs w:val="32"/>
          <w:lang w:val="en-US" w:eastAsia="zh-CN"/>
        </w:rPr>
        <w:t>接推进乡村振兴补助资金</w:t>
      </w:r>
      <w:r>
        <w:rPr>
          <w:rFonts w:hint="eastAsia" w:hAnsi="仿宋_GB2312" w:cs="仿宋_GB2312"/>
          <w:color w:val="auto"/>
          <w:sz w:val="32"/>
          <w:szCs w:val="32"/>
          <w:lang w:val="en-US" w:eastAsia="zh-CN"/>
        </w:rPr>
        <w:t>0.48亿</w:t>
      </w:r>
      <w:r>
        <w:rPr>
          <w:rFonts w:hint="eastAsia" w:ascii="仿宋_GB2312" w:hAnsi="仿宋_GB2312" w:eastAsia="仿宋_GB2312" w:cs="仿宋_GB2312"/>
          <w:color w:val="auto"/>
          <w:sz w:val="32"/>
          <w:szCs w:val="32"/>
          <w:lang w:val="en-US" w:eastAsia="zh-CN"/>
        </w:rPr>
        <w:t>元，支出</w:t>
      </w:r>
      <w:r>
        <w:rPr>
          <w:rFonts w:hint="eastAsia" w:hAnsi="仿宋_GB2312" w:cs="仿宋_GB2312"/>
          <w:color w:val="auto"/>
          <w:sz w:val="32"/>
          <w:szCs w:val="32"/>
          <w:lang w:val="en-US" w:eastAsia="zh-CN"/>
        </w:rPr>
        <w:t>0.32亿</w:t>
      </w:r>
      <w:r>
        <w:rPr>
          <w:rFonts w:hint="eastAsia" w:ascii="仿宋_GB2312" w:hAnsi="仿宋_GB2312" w:eastAsia="仿宋_GB2312" w:cs="仿宋_GB2312"/>
          <w:color w:val="auto"/>
          <w:sz w:val="32"/>
          <w:szCs w:val="32"/>
          <w:lang w:val="en-US" w:eastAsia="zh-CN"/>
        </w:rPr>
        <w:t>元，支出完成率</w:t>
      </w:r>
      <w:r>
        <w:rPr>
          <w:rFonts w:hint="eastAsia" w:hAnsi="仿宋_GB2312" w:cs="仿宋_GB2312"/>
          <w:color w:val="auto"/>
          <w:sz w:val="32"/>
          <w:szCs w:val="32"/>
          <w:lang w:val="en-US" w:eastAsia="zh-CN"/>
        </w:rPr>
        <w:t>67.5</w:t>
      </w:r>
      <w:r>
        <w:rPr>
          <w:rFonts w:hint="eastAsia" w:ascii="仿宋_GB2312" w:hAnsi="仿宋_GB2312" w:eastAsia="仿宋_GB2312" w:cs="仿宋_GB2312"/>
          <w:color w:val="auto"/>
          <w:sz w:val="32"/>
          <w:szCs w:val="32"/>
          <w:lang w:val="en-US" w:eastAsia="zh-CN"/>
        </w:rPr>
        <w:t>%</w:t>
      </w:r>
      <w:r>
        <w:rPr>
          <w:rFonts w:hint="eastAsia" w:hAnsi="仿宋_GB2312" w:cs="仿宋_GB2312"/>
          <w:color w:val="auto"/>
          <w:sz w:val="32"/>
          <w:szCs w:val="32"/>
          <w:lang w:val="en-US" w:eastAsia="zh-CN"/>
        </w:rPr>
        <w:t>。</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b/>
          <w:bCs/>
          <w:color w:val="auto"/>
          <w:sz w:val="32"/>
          <w:szCs w:val="32"/>
          <w:highlight w:val="none"/>
          <w:lang w:val="en-US" w:eastAsia="zh-CN"/>
        </w:rPr>
        <w:t>五是</w:t>
      </w:r>
      <w:r>
        <w:rPr>
          <w:rFonts w:hint="eastAsia" w:ascii="Times New Roman" w:hAnsi="Times New Roman" w:cs="Times New Roman"/>
          <w:color w:val="auto"/>
          <w:sz w:val="32"/>
          <w:szCs w:val="32"/>
          <w:highlight w:val="none"/>
          <w:lang w:val="en-US" w:eastAsia="zh-CN"/>
        </w:rPr>
        <w:t>优化支出结构。坚持科学理财，压减不必要及非刚性的支出，重点保障民生支出及刚性支出，将资金用在刀刃上。上半年全区民生支出 8.32亿元, 兜</w:t>
      </w:r>
      <w:r>
        <w:rPr>
          <w:rFonts w:hint="eastAsia" w:ascii="仿宋_GB2312" w:hAnsi="仿宋_GB2312" w:eastAsia="仿宋_GB2312" w:cs="仿宋_GB2312"/>
          <w:color w:val="auto"/>
          <w:sz w:val="32"/>
          <w:szCs w:val="32"/>
          <w:lang w:val="en-US" w:eastAsia="zh-CN"/>
        </w:rPr>
        <w:t>占地方一般公共预算支出的80.7%， 比上年增加0.2亿元，同比增长2.5%。同时今年十大为民办实事事项共安排资金</w:t>
      </w:r>
      <w:r>
        <w:rPr>
          <w:rFonts w:hint="eastAsia" w:hAnsi="仿宋_GB2312" w:cs="仿宋_GB2312"/>
          <w:color w:val="auto"/>
          <w:sz w:val="32"/>
          <w:szCs w:val="32"/>
          <w:lang w:val="en-US" w:eastAsia="zh-CN"/>
        </w:rPr>
        <w:t>0.</w:t>
      </w:r>
      <w:r>
        <w:rPr>
          <w:rFonts w:hint="eastAsia" w:ascii="仿宋_GB2312" w:hAnsi="仿宋_GB2312" w:eastAsia="仿宋_GB2312" w:cs="仿宋_GB2312"/>
          <w:color w:val="auto"/>
          <w:sz w:val="32"/>
          <w:szCs w:val="32"/>
          <w:lang w:val="en-US" w:eastAsia="zh-CN"/>
        </w:rPr>
        <w:t>21</w:t>
      </w:r>
      <w:r>
        <w:rPr>
          <w:rFonts w:hint="eastAsia" w:hAnsi="仿宋_GB2312" w:cs="仿宋_GB2312"/>
          <w:color w:val="auto"/>
          <w:sz w:val="32"/>
          <w:szCs w:val="32"/>
          <w:lang w:val="en-US" w:eastAsia="zh-CN"/>
        </w:rPr>
        <w:t>亿</w:t>
      </w:r>
      <w:r>
        <w:rPr>
          <w:rFonts w:hint="eastAsia" w:ascii="仿宋_GB2312" w:hAnsi="仿宋_GB2312" w:eastAsia="仿宋_GB2312" w:cs="仿宋_GB2312"/>
          <w:color w:val="auto"/>
          <w:sz w:val="32"/>
          <w:szCs w:val="32"/>
          <w:lang w:val="en-US" w:eastAsia="zh-CN"/>
        </w:rPr>
        <w:t>元，其中：区级安排</w:t>
      </w:r>
      <w:r>
        <w:rPr>
          <w:rFonts w:hint="eastAsia" w:hAnsi="仿宋_GB2312" w:cs="仿宋_GB2312"/>
          <w:color w:val="auto"/>
          <w:sz w:val="32"/>
          <w:szCs w:val="32"/>
          <w:lang w:val="en-US" w:eastAsia="zh-CN"/>
        </w:rPr>
        <w:t>0.</w:t>
      </w:r>
      <w:r>
        <w:rPr>
          <w:rFonts w:hint="eastAsia" w:ascii="仿宋_GB2312" w:hAnsi="仿宋_GB2312" w:eastAsia="仿宋_GB2312" w:cs="仿宋_GB2312"/>
          <w:color w:val="auto"/>
          <w:sz w:val="32"/>
          <w:szCs w:val="32"/>
          <w:lang w:val="en-US" w:eastAsia="zh-CN"/>
        </w:rPr>
        <w:t>1</w:t>
      </w:r>
      <w:r>
        <w:rPr>
          <w:rFonts w:hint="eastAsia" w:hAnsi="仿宋_GB2312" w:cs="仿宋_GB2312"/>
          <w:color w:val="auto"/>
          <w:sz w:val="32"/>
          <w:szCs w:val="32"/>
          <w:lang w:val="en-US" w:eastAsia="zh-CN"/>
        </w:rPr>
        <w:t>7亿</w:t>
      </w:r>
      <w:r>
        <w:rPr>
          <w:rFonts w:hint="eastAsia" w:ascii="仿宋_GB2312" w:hAnsi="仿宋_GB2312" w:eastAsia="仿宋_GB2312" w:cs="仿宋_GB2312"/>
          <w:color w:val="auto"/>
          <w:sz w:val="32"/>
          <w:szCs w:val="32"/>
          <w:lang w:val="en-US" w:eastAsia="zh-CN"/>
        </w:rPr>
        <w:t>元，市级配套450万元。相关资金的投入全力保障了区政府确定的为民办实事项目的顺利实施，财政保基本、</w:t>
      </w:r>
      <w:r>
        <w:rPr>
          <w:rFonts w:hint="eastAsia" w:ascii="Times New Roman" w:hAnsi="Times New Roman" w:cs="Times New Roman"/>
          <w:color w:val="auto"/>
          <w:sz w:val="32"/>
          <w:szCs w:val="32"/>
          <w:highlight w:val="none"/>
          <w:lang w:val="en-US" w:eastAsia="zh-CN"/>
        </w:rPr>
        <w:t>底线、促公平的作用更加突显。</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（五）保平稳，强监督，促改革</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Times New Roman" w:hAnsi="Times New Roman" w:cs="Times New Roman"/>
          <w:b/>
          <w:bCs/>
          <w:color w:val="auto"/>
          <w:kern w:val="2"/>
          <w:sz w:val="32"/>
          <w:szCs w:val="32"/>
          <w:highlight w:val="none"/>
          <w:lang w:val="en-US" w:eastAsia="zh-CN" w:bidi="ar-SA"/>
        </w:rPr>
        <w:t>一是</w:t>
      </w:r>
      <w:r>
        <w:rPr>
          <w:rFonts w:hint="eastAsia" w:ascii="仿宋_GB2312" w:hAnsi="仿宋_GB2312" w:eastAsia="仿宋_GB2312" w:cs="仿宋_GB2312"/>
          <w:b w:val="0"/>
          <w:bCs w:val="0"/>
          <w:color w:val="auto"/>
          <w:kern w:val="2"/>
          <w:sz w:val="32"/>
          <w:szCs w:val="32"/>
          <w:highlight w:val="none"/>
          <w:lang w:val="en-US" w:eastAsia="zh-CN" w:bidi="ar-SA"/>
        </w:rPr>
        <w:t>牢固树立政府过“紧日子”思想。</w:t>
      </w:r>
      <w:r>
        <w:rPr>
          <w:rFonts w:hint="eastAsia" w:ascii="Times New Roman" w:hAnsi="Times New Roman" w:cs="Times New Roman"/>
          <w:color w:val="auto"/>
          <w:sz w:val="32"/>
          <w:szCs w:val="32"/>
          <w:highlight w:val="none"/>
          <w:lang w:val="en-US" w:eastAsia="zh-CN"/>
        </w:rPr>
        <w:t>认真贯彻落实各项财税政策，坚持政府过“紧日子”思想，把有限的财政资金用在刀刃上，保障我区财政平稳运行，长远谋划，统筹使用，从增收节支，提高效益上下功</w:t>
      </w:r>
      <w:r>
        <w:rPr>
          <w:rFonts w:hint="eastAsia" w:ascii="仿宋_GB2312" w:hAnsi="仿宋_GB2312" w:eastAsia="仿宋_GB2312" w:cs="仿宋_GB2312"/>
          <w:color w:val="auto"/>
          <w:sz w:val="32"/>
          <w:szCs w:val="32"/>
          <w:highlight w:val="none"/>
          <w:lang w:val="en-US" w:eastAsia="zh-CN"/>
        </w:rPr>
        <w:t>夫，确保有限的财政资金使用效益得到充分发挥。上半年，区本级预算一般性支出2.01亿元，较上年</w:t>
      </w:r>
      <w:r>
        <w:rPr>
          <w:rFonts w:hint="eastAsia" w:hAnsi="仿宋_GB2312" w:cs="仿宋_GB2312"/>
          <w:color w:val="auto"/>
          <w:sz w:val="32"/>
          <w:szCs w:val="32"/>
          <w:highlight w:val="none"/>
          <w:lang w:val="en-US" w:eastAsia="zh-CN"/>
        </w:rPr>
        <w:t>同期</w:t>
      </w:r>
      <w:r>
        <w:rPr>
          <w:rFonts w:hint="eastAsia" w:ascii="仿宋_GB2312" w:hAnsi="仿宋_GB2312" w:eastAsia="仿宋_GB2312" w:cs="仿宋_GB2312"/>
          <w:color w:val="auto"/>
          <w:sz w:val="32"/>
          <w:szCs w:val="32"/>
          <w:highlight w:val="none"/>
          <w:lang w:val="en-US" w:eastAsia="zh-CN"/>
        </w:rPr>
        <w:t>减少0.17亿元，同比下降7.9%</w:t>
      </w:r>
      <w:r>
        <w:rPr>
          <w:rFonts w:hint="eastAsia" w:hAnsi="仿宋_GB2312" w:cs="仿宋_GB2312"/>
          <w:color w:val="auto"/>
          <w:sz w:val="32"/>
          <w:szCs w:val="32"/>
          <w:highlight w:val="none"/>
          <w:lang w:val="en-US" w:eastAsia="zh-CN"/>
        </w:rPr>
        <w:t>。</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color w:val="auto"/>
          <w:sz w:val="32"/>
          <w:szCs w:val="32"/>
          <w:highlight w:val="none"/>
        </w:rPr>
      </w:pPr>
      <w:r>
        <w:rPr>
          <w:rFonts w:hint="eastAsia" w:hAnsi="仿宋_GB2312" w:cs="仿宋_GB2312"/>
          <w:b/>
          <w:bCs/>
          <w:color w:val="auto"/>
          <w:sz w:val="32"/>
          <w:szCs w:val="32"/>
          <w:highlight w:val="none"/>
          <w:lang w:val="en-US" w:eastAsia="zh-CN"/>
        </w:rPr>
        <w:t>二是</w:t>
      </w:r>
      <w:r>
        <w:rPr>
          <w:rFonts w:hint="eastAsia" w:ascii="仿宋_GB2312" w:hAnsi="仿宋_GB2312" w:eastAsia="仿宋_GB2312" w:cs="仿宋_GB2312"/>
          <w:b w:val="0"/>
          <w:bCs w:val="0"/>
          <w:color w:val="auto"/>
          <w:kern w:val="2"/>
          <w:sz w:val="32"/>
          <w:szCs w:val="32"/>
          <w:highlight w:val="none"/>
          <w:lang w:val="en-US" w:eastAsia="zh-CN" w:bidi="ar-SA"/>
        </w:rPr>
        <w:t>深化财政财会监督管理机制成效显著。全面实施预算绩效管理</w:t>
      </w:r>
      <w:r>
        <w:rPr>
          <w:rFonts w:hint="eastAsia" w:hAnsi="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CN" w:bidi="ar-SA"/>
        </w:rPr>
        <w:t>开展年度全区部门整体支出绩效评价和重点绩效评价，同时加强区级预算绩效评价结果应用</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auto"/>
          <w:kern w:val="2"/>
          <w:sz w:val="32"/>
          <w:szCs w:val="32"/>
          <w:highlight w:val="none"/>
          <w:lang w:val="en-US" w:eastAsia="zh-CN" w:bidi="ar-SA"/>
        </w:rPr>
        <w:t>严肃查处“一卡通”管理及其他惠农补贴资金发放中存在的违法违纪问题，同时扎实做好反馈问题的整改落实工作。继续拓宽干部交流渠道，注重培养监管工作新生力量。常态化开展学习培训、跟班学习，加强财会监督人才培养，提升监管能力和监管水平。</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rPr>
        <w:t>深化国有企业改革激发经济效益。推进国有企业整合重组，将区国资公司和区城投公司合并赋能，按照《公司法》要求成立架构齐全的董事会和监事会</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完善现代法人治理体系。夯实制度基础,出台《三亚市天涯区区属国有企业投资监督管理办法》等3项制度。进一步明确主责主业</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加强综合考核及监管，实行与绩效薪酬挂钩。开展公共工程腐败风险隐患自查自纠、开展3个审计整改项目。区属国企主要经营指标向好发展</w:t>
      </w:r>
      <w:r>
        <w:rPr>
          <w:rFonts w:hint="eastAsia" w:hAnsi="仿宋_GB2312" w:cs="仿宋_GB2312"/>
          <w:color w:val="auto"/>
          <w:sz w:val="32"/>
          <w:szCs w:val="32"/>
          <w:highlight w:val="none"/>
          <w:lang w:eastAsia="zh-CN"/>
        </w:rPr>
        <w:t>，上半年</w:t>
      </w:r>
      <w:r>
        <w:rPr>
          <w:rFonts w:hint="eastAsia" w:ascii="仿宋_GB2312" w:hAnsi="仿宋_GB2312" w:eastAsia="仿宋_GB2312" w:cs="仿宋_GB2312"/>
          <w:color w:val="auto"/>
          <w:sz w:val="32"/>
          <w:szCs w:val="32"/>
          <w:highlight w:val="none"/>
        </w:rPr>
        <w:t>，区城投公司营业收入同比增长</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%，区乡投公司营业收入</w:t>
      </w:r>
      <w:r>
        <w:rPr>
          <w:rFonts w:hint="eastAsia" w:hAnsi="仿宋_GB2312" w:cs="仿宋_GB2312"/>
          <w:color w:val="auto"/>
          <w:sz w:val="32"/>
          <w:szCs w:val="32"/>
          <w:highlight w:val="none"/>
          <w:lang w:eastAsia="zh-CN"/>
        </w:rPr>
        <w:t>同比</w:t>
      </w:r>
      <w:r>
        <w:rPr>
          <w:rFonts w:hint="eastAsia" w:ascii="仿宋_GB2312" w:hAnsi="仿宋_GB2312" w:eastAsia="仿宋_GB2312" w:cs="仿宋_GB2312"/>
          <w:color w:val="auto"/>
          <w:sz w:val="32"/>
          <w:szCs w:val="32"/>
          <w:highlight w:val="none"/>
        </w:rPr>
        <w:t>增长30</w:t>
      </w:r>
      <w:r>
        <w:rPr>
          <w:rFonts w:hint="eastAsia" w:hAnsi="仿宋_GB2312" w:cs="仿宋_GB2312"/>
          <w:color w:val="auto"/>
          <w:sz w:val="32"/>
          <w:szCs w:val="32"/>
          <w:highlight w:val="none"/>
          <w:lang w:eastAsia="zh-CN"/>
        </w:rPr>
        <w:t>倍。</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5"/>
        <w:textAlignment w:val="auto"/>
        <w:rPr>
          <w:rFonts w:hint="eastAsia" w:ascii="仿宋_GB2312" w:hAnsi="仿宋_GB2312" w:eastAsia="仿宋_GB2312" w:cs="仿宋_GB2312"/>
          <w:color w:val="auto"/>
          <w:kern w:val="0"/>
          <w:sz w:val="32"/>
          <w:szCs w:val="32"/>
          <w:highlight w:val="none"/>
          <w:lang w:val="zh-CN" w:eastAsia="zh-CN" w:bidi="ar-SA"/>
        </w:rPr>
      </w:pPr>
      <w:r>
        <w:rPr>
          <w:rFonts w:hint="eastAsia" w:ascii="仿宋_GB2312" w:hAnsi="仿宋_GB2312" w:eastAsia="仿宋_GB2312" w:cs="仿宋_GB2312"/>
          <w:color w:val="auto"/>
          <w:kern w:val="0"/>
          <w:sz w:val="32"/>
          <w:szCs w:val="32"/>
          <w:highlight w:val="none"/>
          <w:lang w:val="zh-CN" w:eastAsia="zh-CN" w:bidi="ar-SA"/>
        </w:rPr>
        <w:t>总体来看，202</w:t>
      </w:r>
      <w:r>
        <w:rPr>
          <w:rFonts w:hint="eastAsia" w:ascii="仿宋_GB2312" w:hAnsi="仿宋_GB2312" w:eastAsia="仿宋_GB2312" w:cs="仿宋_GB2312"/>
          <w:color w:val="auto"/>
          <w:kern w:val="0"/>
          <w:sz w:val="32"/>
          <w:szCs w:val="32"/>
          <w:highlight w:val="none"/>
          <w:lang w:val="en-US" w:eastAsia="zh-CN" w:bidi="ar-SA"/>
        </w:rPr>
        <w:t>4</w:t>
      </w:r>
      <w:r>
        <w:rPr>
          <w:rFonts w:hint="eastAsia" w:ascii="仿宋_GB2312" w:hAnsi="仿宋_GB2312" w:eastAsia="仿宋_GB2312" w:cs="仿宋_GB2312"/>
          <w:color w:val="auto"/>
          <w:kern w:val="0"/>
          <w:sz w:val="32"/>
          <w:szCs w:val="32"/>
          <w:highlight w:val="none"/>
          <w:lang w:val="zh-CN" w:eastAsia="zh-CN" w:bidi="ar-SA"/>
        </w:rPr>
        <w:t>年上半年预算执行情况较好，财政改革发展工作</w:t>
      </w:r>
      <w:r>
        <w:rPr>
          <w:rFonts w:hint="eastAsia" w:ascii="仿宋_GB2312" w:hAnsi="仿宋_GB2312" w:eastAsia="仿宋_GB2312" w:cs="仿宋_GB2312"/>
          <w:color w:val="auto"/>
          <w:kern w:val="0"/>
          <w:sz w:val="32"/>
          <w:szCs w:val="32"/>
          <w:highlight w:val="none"/>
          <w:lang w:val="en-US" w:eastAsia="zh-CN" w:bidi="ar-SA"/>
        </w:rPr>
        <w:t>迈</w:t>
      </w:r>
      <w:r>
        <w:rPr>
          <w:rFonts w:hint="eastAsia" w:ascii="仿宋_GB2312" w:hAnsi="仿宋_GB2312" w:eastAsia="仿宋_GB2312" w:cs="仿宋_GB2312"/>
          <w:color w:val="auto"/>
          <w:kern w:val="0"/>
          <w:sz w:val="32"/>
          <w:szCs w:val="32"/>
          <w:highlight w:val="none"/>
          <w:lang w:val="zh-CN" w:eastAsia="zh-CN" w:bidi="ar-SA"/>
        </w:rPr>
        <w:t>上新台阶，营商环境进一步优化，税收收入持续健康发展。同时，我们也清醒地看到，预算执行和财政工作中还面临一些问题和挑战：</w:t>
      </w:r>
      <w:r>
        <w:rPr>
          <w:rFonts w:hint="eastAsia" w:ascii="仿宋_GB2312" w:hAnsi="仿宋_GB2312" w:eastAsia="仿宋_GB2312" w:cs="仿宋_GB2312"/>
          <w:b/>
          <w:bCs/>
          <w:color w:val="auto"/>
          <w:kern w:val="0"/>
          <w:sz w:val="32"/>
          <w:szCs w:val="32"/>
          <w:highlight w:val="none"/>
          <w:lang w:val="zh-CN" w:eastAsia="zh-CN" w:bidi="ar-SA"/>
        </w:rPr>
        <w:t>一是</w:t>
      </w:r>
      <w:r>
        <w:rPr>
          <w:rFonts w:hint="eastAsia" w:ascii="仿宋_GB2312" w:hAnsi="仿宋_GB2312" w:eastAsia="仿宋_GB2312" w:cs="仿宋_GB2312"/>
          <w:color w:val="auto"/>
          <w:kern w:val="0"/>
          <w:sz w:val="32"/>
          <w:szCs w:val="32"/>
          <w:highlight w:val="none"/>
          <w:lang w:val="zh-CN" w:eastAsia="zh-CN" w:bidi="ar-SA"/>
        </w:rPr>
        <w:t>财政收入依然面临较大不确定性。</w:t>
      </w:r>
      <w:r>
        <w:rPr>
          <w:rFonts w:hint="eastAsia" w:ascii="仿宋_GB2312" w:hAnsi="仿宋_GB2312" w:eastAsia="仿宋_GB2312" w:cs="仿宋_GB2312"/>
          <w:color w:val="auto"/>
          <w:kern w:val="0"/>
          <w:sz w:val="32"/>
          <w:szCs w:val="32"/>
          <w:highlight w:val="none"/>
          <w:lang w:val="en-US" w:eastAsia="zh-CN" w:bidi="ar-SA"/>
        </w:rPr>
        <w:t>天涯</w:t>
      </w:r>
      <w:r>
        <w:rPr>
          <w:rFonts w:hint="eastAsia" w:ascii="仿宋_GB2312" w:hAnsi="仿宋_GB2312" w:eastAsia="仿宋_GB2312" w:cs="仿宋_GB2312"/>
          <w:color w:val="auto"/>
          <w:kern w:val="0"/>
          <w:sz w:val="32"/>
          <w:szCs w:val="32"/>
          <w:highlight w:val="none"/>
          <w:lang w:val="zh-CN" w:eastAsia="zh-CN" w:bidi="ar-SA"/>
        </w:rPr>
        <w:t>区税收主要贡献还是以房地产土增税为主，房地产行业占全口径税收高达</w:t>
      </w:r>
      <w:r>
        <w:rPr>
          <w:rFonts w:hint="eastAsia" w:ascii="仿宋_GB2312" w:hAnsi="仿宋_GB2312" w:eastAsia="仿宋_GB2312" w:cs="仿宋_GB2312"/>
          <w:color w:val="auto"/>
          <w:kern w:val="0"/>
          <w:sz w:val="32"/>
          <w:szCs w:val="32"/>
          <w:highlight w:val="none"/>
          <w:lang w:val="en-US" w:eastAsia="zh-CN" w:bidi="ar-SA"/>
        </w:rPr>
        <w:t>42.2%，其他产业行业并进发展还需持续发力。</w:t>
      </w:r>
      <w:r>
        <w:rPr>
          <w:rFonts w:hint="eastAsia" w:ascii="仿宋_GB2312" w:hAnsi="仿宋_GB2312" w:eastAsia="仿宋_GB2312" w:cs="仿宋_GB2312"/>
          <w:b/>
          <w:bCs/>
          <w:color w:val="auto"/>
          <w:kern w:val="0"/>
          <w:sz w:val="32"/>
          <w:szCs w:val="32"/>
          <w:highlight w:val="none"/>
          <w:lang w:val="zh-CN" w:eastAsia="zh-CN" w:bidi="ar-SA"/>
        </w:rPr>
        <w:t>二是</w:t>
      </w:r>
      <w:r>
        <w:rPr>
          <w:rFonts w:hint="eastAsia" w:ascii="仿宋_GB2312" w:hAnsi="仿宋_GB2312" w:eastAsia="仿宋_GB2312" w:cs="仿宋_GB2312"/>
          <w:color w:val="auto"/>
          <w:kern w:val="0"/>
          <w:sz w:val="32"/>
          <w:szCs w:val="32"/>
          <w:highlight w:val="none"/>
          <w:lang w:val="zh-CN" w:eastAsia="zh-CN" w:bidi="ar-SA"/>
        </w:rPr>
        <w:t>财政收支“紧平衡”矛盾持续加剧。各领域项目支出对财政资金的需求大幅增加，特别是刚性支出需求持续增长，保工资、保运转、保基本民生支出压力</w:t>
      </w:r>
      <w:r>
        <w:rPr>
          <w:rFonts w:hint="eastAsia" w:ascii="仿宋_GB2312" w:hAnsi="仿宋_GB2312" w:eastAsia="仿宋_GB2312" w:cs="仿宋_GB2312"/>
          <w:color w:val="auto"/>
          <w:kern w:val="0"/>
          <w:sz w:val="32"/>
          <w:szCs w:val="32"/>
          <w:highlight w:val="none"/>
          <w:lang w:val="en-US" w:eastAsia="zh-CN" w:bidi="ar-SA"/>
        </w:rPr>
        <w:t>增大</w:t>
      </w:r>
      <w:r>
        <w:rPr>
          <w:rFonts w:hint="eastAsia" w:ascii="仿宋_GB2312" w:hAnsi="仿宋_GB2312" w:eastAsia="仿宋_GB2312" w:cs="仿宋_GB2312"/>
          <w:color w:val="auto"/>
          <w:kern w:val="0"/>
          <w:sz w:val="32"/>
          <w:szCs w:val="32"/>
          <w:highlight w:val="none"/>
          <w:lang w:val="zh-CN" w:eastAsia="zh-CN" w:bidi="ar-SA"/>
        </w:rPr>
        <w:t>，个别重点项目库款保障能力有所下降。</w:t>
      </w:r>
      <w:r>
        <w:rPr>
          <w:rFonts w:hint="eastAsia" w:ascii="仿宋_GB2312" w:hAnsi="仿宋_GB2312" w:eastAsia="仿宋_GB2312" w:cs="仿宋_GB2312"/>
          <w:b/>
          <w:bCs/>
          <w:color w:val="auto"/>
          <w:kern w:val="0"/>
          <w:sz w:val="32"/>
          <w:szCs w:val="32"/>
          <w:highlight w:val="none"/>
          <w:lang w:val="zh-CN" w:eastAsia="zh-CN" w:bidi="ar-SA"/>
        </w:rPr>
        <w:t>三是</w:t>
      </w:r>
      <w:r>
        <w:rPr>
          <w:rFonts w:hint="eastAsia" w:ascii="仿宋_GB2312" w:hAnsi="仿宋_GB2312" w:eastAsia="仿宋_GB2312" w:cs="仿宋_GB2312"/>
          <w:color w:val="auto"/>
          <w:kern w:val="0"/>
          <w:sz w:val="32"/>
          <w:szCs w:val="32"/>
          <w:highlight w:val="none"/>
          <w:lang w:val="zh-CN" w:eastAsia="zh-CN" w:bidi="ar-SA"/>
        </w:rPr>
        <w:t>管财理财水平需进一步提高。在人大、审计等监督工作中，反映出财政财务管理中依然存在一些普遍性问题，</w:t>
      </w:r>
      <w:r>
        <w:rPr>
          <w:rFonts w:hint="eastAsia" w:ascii="仿宋_GB2312" w:hAnsi="仿宋_GB2312" w:eastAsia="仿宋_GB2312" w:cs="仿宋_GB2312"/>
          <w:color w:val="auto"/>
          <w:kern w:val="0"/>
          <w:sz w:val="32"/>
          <w:szCs w:val="32"/>
          <w:highlight w:val="none"/>
          <w:lang w:val="en-US" w:eastAsia="zh-CN" w:bidi="ar-SA"/>
        </w:rPr>
        <w:t>如</w:t>
      </w:r>
      <w:r>
        <w:rPr>
          <w:rFonts w:hint="eastAsia" w:ascii="仿宋_GB2312" w:hAnsi="仿宋_GB2312" w:eastAsia="仿宋_GB2312" w:cs="仿宋_GB2312"/>
          <w:color w:val="auto"/>
          <w:kern w:val="0"/>
          <w:sz w:val="32"/>
          <w:szCs w:val="32"/>
          <w:highlight w:val="none"/>
          <w:lang w:val="zh-CN" w:eastAsia="zh-CN" w:bidi="ar-SA"/>
        </w:rPr>
        <w:t>部分单位在预算执行管理中，仍存在过紧日子思想不牢、项目未及时按轻重缓急排序、资金使用效益仍需提高等问题。</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color w:val="auto"/>
          <w:highlight w:val="none"/>
        </w:rPr>
      </w:pPr>
      <w:r>
        <w:rPr>
          <w:rFonts w:hint="eastAsia" w:ascii="黑体" w:hAnsi="黑体" w:eastAsia="黑体" w:cs="黑体"/>
          <w:bCs/>
          <w:color w:val="auto"/>
          <w:highlight w:val="none"/>
        </w:rPr>
        <w:t>四、202</w:t>
      </w:r>
      <w:r>
        <w:rPr>
          <w:rFonts w:hint="eastAsia" w:ascii="黑体" w:hAnsi="黑体" w:eastAsia="黑体" w:cs="黑体"/>
          <w:bCs/>
          <w:color w:val="auto"/>
          <w:highlight w:val="none"/>
          <w:lang w:val="en-US" w:eastAsia="zh-CN"/>
        </w:rPr>
        <w:t>4</w:t>
      </w:r>
      <w:r>
        <w:rPr>
          <w:rFonts w:hint="eastAsia" w:ascii="黑体" w:hAnsi="黑体" w:eastAsia="黑体" w:cs="黑体"/>
          <w:bCs/>
          <w:color w:val="auto"/>
          <w:highlight w:val="none"/>
        </w:rPr>
        <w:t>年下半年财政工作计划及措施</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zh-CN" w:eastAsia="zh-CN" w:bidi="ar-SA"/>
        </w:rPr>
      </w:pPr>
      <w:r>
        <w:rPr>
          <w:rFonts w:hint="eastAsia" w:ascii="仿宋_GB2312" w:hAnsi="仿宋_GB2312" w:eastAsia="仿宋_GB2312" w:cs="仿宋_GB2312"/>
          <w:color w:val="auto"/>
          <w:kern w:val="0"/>
          <w:sz w:val="32"/>
          <w:szCs w:val="32"/>
          <w:highlight w:val="none"/>
          <w:lang w:val="en-US" w:eastAsia="zh-CN" w:bidi="ar-SA"/>
        </w:rPr>
        <w:t>回顾过去，展望未来</w:t>
      </w:r>
      <w:r>
        <w:rPr>
          <w:rFonts w:hint="default" w:ascii="仿宋_GB2312" w:hAnsi="仿宋_GB2312" w:eastAsia="仿宋_GB2312" w:cs="仿宋_GB2312"/>
          <w:color w:val="auto"/>
          <w:kern w:val="0"/>
          <w:sz w:val="32"/>
          <w:szCs w:val="32"/>
          <w:highlight w:val="none"/>
          <w:lang w:val="en-US" w:eastAsia="zh-CN" w:bidi="ar-SA"/>
        </w:rPr>
        <w:t>。</w:t>
      </w:r>
      <w:r>
        <w:rPr>
          <w:rFonts w:hint="eastAsia" w:ascii="仿宋_GB2312" w:hAnsi="仿宋_GB2312" w:eastAsia="仿宋_GB2312" w:cs="仿宋_GB2312"/>
          <w:color w:val="auto"/>
          <w:kern w:val="0"/>
          <w:sz w:val="32"/>
          <w:szCs w:val="32"/>
          <w:highlight w:val="none"/>
          <w:lang w:val="en-US" w:eastAsia="zh-CN" w:bidi="ar-SA"/>
        </w:rPr>
        <w:t>2024年是新中国成立75周年，是自贸港封关运作</w:t>
      </w:r>
      <w:r>
        <w:rPr>
          <w:rFonts w:hint="eastAsia" w:hAnsi="仿宋_GB2312" w:cs="仿宋_GB2312"/>
          <w:color w:val="auto"/>
          <w:kern w:val="0"/>
          <w:sz w:val="32"/>
          <w:szCs w:val="32"/>
          <w:highlight w:val="none"/>
          <w:lang w:val="en-US" w:eastAsia="zh-CN" w:bidi="ar-SA"/>
        </w:rPr>
        <w:t>的关键之年</w:t>
      </w:r>
      <w:r>
        <w:rPr>
          <w:rFonts w:hint="eastAsia" w:ascii="仿宋_GB2312" w:hAnsi="仿宋_GB2312" w:eastAsia="仿宋_GB2312" w:cs="仿宋_GB2312"/>
          <w:color w:val="auto"/>
          <w:kern w:val="0"/>
          <w:sz w:val="32"/>
          <w:szCs w:val="32"/>
          <w:highlight w:val="none"/>
          <w:lang w:val="en-US" w:eastAsia="zh-CN" w:bidi="ar-SA"/>
        </w:rPr>
        <w:t>。下半年，天涯区财政工作将坚持以习近平新时代中国特色社会主义思想为指引，深入贯彻落实党的二十大精神，着力打造“六个标杆”，建设“六个三亚”，</w:t>
      </w:r>
      <w:r>
        <w:rPr>
          <w:rFonts w:hint="eastAsia" w:ascii="仿宋_GB2312" w:hAnsi="仿宋_GB2312" w:eastAsia="仿宋_GB2312" w:cs="仿宋_GB2312"/>
          <w:color w:val="auto"/>
          <w:kern w:val="0"/>
          <w:sz w:val="32"/>
          <w:szCs w:val="32"/>
          <w:highlight w:val="none"/>
          <w:lang w:val="zh-CN" w:eastAsia="zh-CN" w:bidi="ar-SA"/>
        </w:rPr>
        <w:t>围绕区委、区政府工作要求，努力开拓财源，促进经济结构转型升级，构建多样化产业结构，促进经济高质量发展，助力在自贸港建设中贡献财政力量。</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（一）坚持应收尽收、颗粒归仓</w:t>
      </w:r>
    </w:p>
    <w:p>
      <w:pPr>
        <w:pStyle w:val="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560" w:lineRule="exact"/>
        <w:ind w:left="0" w:leftChars="0" w:firstLine="640" w:firstLineChars="200"/>
        <w:textAlignment w:val="auto"/>
        <w:rPr>
          <w:rFonts w:hint="eastAsia" w:ascii="Times New Roman" w:hAnsi="Times New Roman" w:eastAsia="仿宋_GB2312" w:cs="Times New Roman"/>
          <w:bCs/>
          <w:color w:val="auto"/>
          <w:sz w:val="32"/>
          <w:szCs w:val="32"/>
          <w:highlight w:val="none"/>
          <w:lang w:eastAsia="zh-CN"/>
        </w:rPr>
      </w:pPr>
      <w:r>
        <w:rPr>
          <w:rFonts w:hint="eastAsia" w:ascii="Times New Roman" w:hAnsi="Times New Roman" w:eastAsia="仿宋_GB2312" w:cs="Times New Roman"/>
          <w:bCs/>
          <w:color w:val="auto"/>
          <w:sz w:val="32"/>
          <w:szCs w:val="32"/>
          <w:highlight w:val="none"/>
        </w:rPr>
        <w:t>锚定年度</w:t>
      </w:r>
      <w:r>
        <w:rPr>
          <w:rFonts w:hint="eastAsia" w:ascii="Times New Roman" w:hAnsi="Times New Roman" w:eastAsia="仿宋_GB2312" w:cs="Times New Roman"/>
          <w:bCs/>
          <w:color w:val="auto"/>
          <w:sz w:val="32"/>
          <w:szCs w:val="32"/>
          <w:highlight w:val="none"/>
          <w:lang w:eastAsia="zh-CN"/>
        </w:rPr>
        <w:t>税收</w:t>
      </w:r>
      <w:r>
        <w:rPr>
          <w:rFonts w:hint="eastAsia" w:ascii="Times New Roman" w:hAnsi="Times New Roman" w:eastAsia="仿宋_GB2312" w:cs="Times New Roman"/>
          <w:bCs/>
          <w:color w:val="auto"/>
          <w:sz w:val="32"/>
          <w:szCs w:val="32"/>
          <w:highlight w:val="none"/>
        </w:rPr>
        <w:t>目标，抢抓机遇、自加压力，以“跳起来摘桃子”的信心决心全力冲刺</w:t>
      </w:r>
      <w:r>
        <w:rPr>
          <w:rFonts w:hint="eastAsia" w:ascii="Times New Roman" w:hAnsi="Times New Roman" w:eastAsia="仿宋_GB2312" w:cs="Times New Roman"/>
          <w:bCs/>
          <w:color w:val="auto"/>
          <w:sz w:val="32"/>
          <w:szCs w:val="32"/>
          <w:highlight w:val="none"/>
          <w:lang w:eastAsia="zh-CN"/>
        </w:rPr>
        <w:t>。</w:t>
      </w:r>
      <w:r>
        <w:rPr>
          <w:rFonts w:hint="eastAsia" w:ascii="Times New Roman" w:hAnsi="Times New Roman" w:eastAsia="仿宋_GB2312" w:cs="Times New Roman"/>
          <w:bCs/>
          <w:color w:val="auto"/>
          <w:sz w:val="32"/>
          <w:szCs w:val="32"/>
          <w:highlight w:val="none"/>
        </w:rPr>
        <w:t> </w:t>
      </w: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仿宋_GB2312" w:hAnsi="仿宋_GB2312" w:eastAsia="仿宋_GB2312" w:cs="仿宋_GB2312"/>
          <w:b w:val="0"/>
          <w:bCs w:val="0"/>
          <w:color w:val="auto"/>
          <w:sz w:val="32"/>
          <w:szCs w:val="32"/>
          <w:highlight w:val="none"/>
          <w:lang w:val="en-US" w:eastAsia="zh-CN"/>
        </w:rPr>
        <w:t>强化信息共享，群策群力抓收入。强化组织收入“一盘棋”的思</w:t>
      </w:r>
      <w:r>
        <w:rPr>
          <w:rFonts w:hint="eastAsia" w:ascii="Times New Roman" w:hAnsi="Times New Roman" w:eastAsia="仿宋_GB2312" w:cs="Times New Roman"/>
          <w:bCs/>
          <w:color w:val="auto"/>
          <w:sz w:val="32"/>
          <w:szCs w:val="32"/>
          <w:highlight w:val="none"/>
        </w:rPr>
        <w:t>想，严格落实财税工作</w:t>
      </w:r>
      <w:r>
        <w:rPr>
          <w:rFonts w:hint="eastAsia" w:ascii="Times New Roman" w:hAnsi="Times New Roman" w:eastAsia="仿宋_GB2312" w:cs="Times New Roman"/>
          <w:bCs/>
          <w:color w:val="auto"/>
          <w:sz w:val="32"/>
          <w:szCs w:val="32"/>
          <w:highlight w:val="none"/>
          <w:lang w:eastAsia="zh-CN"/>
        </w:rPr>
        <w:t>专班</w:t>
      </w:r>
      <w:r>
        <w:rPr>
          <w:rFonts w:hint="eastAsia" w:ascii="Times New Roman" w:hAnsi="Times New Roman" w:eastAsia="仿宋_GB2312" w:cs="Times New Roman"/>
          <w:bCs/>
          <w:color w:val="auto"/>
          <w:sz w:val="32"/>
          <w:szCs w:val="32"/>
          <w:highlight w:val="none"/>
        </w:rPr>
        <w:t>，</w:t>
      </w:r>
      <w:r>
        <w:rPr>
          <w:rFonts w:hint="eastAsia" w:ascii="Times New Roman" w:hAnsi="Times New Roman" w:eastAsia="仿宋_GB2312" w:cs="Times New Roman"/>
          <w:bCs/>
          <w:color w:val="auto"/>
          <w:sz w:val="32"/>
          <w:szCs w:val="32"/>
          <w:highlight w:val="none"/>
          <w:lang w:eastAsia="zh-CN"/>
        </w:rPr>
        <w:t>以</w:t>
      </w:r>
      <w:r>
        <w:rPr>
          <w:rFonts w:hint="eastAsia" w:ascii="Times New Roman" w:hAnsi="Times New Roman" w:eastAsia="仿宋_GB2312" w:cs="Times New Roman"/>
          <w:bCs/>
          <w:color w:val="auto"/>
          <w:sz w:val="32"/>
          <w:szCs w:val="32"/>
          <w:highlight w:val="none"/>
        </w:rPr>
        <w:t>税务、财政、</w:t>
      </w:r>
      <w:r>
        <w:rPr>
          <w:rFonts w:hint="eastAsia" w:ascii="Times New Roman" w:hAnsi="Times New Roman" w:eastAsia="仿宋_GB2312" w:cs="Times New Roman"/>
          <w:bCs/>
          <w:color w:val="auto"/>
          <w:sz w:val="32"/>
          <w:szCs w:val="32"/>
          <w:highlight w:val="none"/>
          <w:lang w:eastAsia="zh-CN"/>
        </w:rPr>
        <w:t>工商、营商、公安</w:t>
      </w:r>
      <w:r>
        <w:rPr>
          <w:rFonts w:hint="eastAsia" w:ascii="Times New Roman" w:hAnsi="Times New Roman" w:eastAsia="仿宋_GB2312" w:cs="Times New Roman"/>
          <w:bCs/>
          <w:color w:val="auto"/>
          <w:sz w:val="32"/>
          <w:szCs w:val="32"/>
          <w:highlight w:val="none"/>
        </w:rPr>
        <w:t>等</w:t>
      </w:r>
      <w:r>
        <w:rPr>
          <w:rFonts w:hint="eastAsia" w:ascii="Times New Roman" w:hAnsi="Times New Roman" w:eastAsia="仿宋_GB2312" w:cs="Times New Roman"/>
          <w:bCs/>
          <w:color w:val="auto"/>
          <w:sz w:val="32"/>
          <w:szCs w:val="32"/>
          <w:highlight w:val="none"/>
          <w:lang w:eastAsia="zh-CN"/>
        </w:rPr>
        <w:t>多部门</w:t>
      </w:r>
      <w:r>
        <w:rPr>
          <w:rFonts w:hint="eastAsia" w:ascii="Times New Roman" w:hAnsi="Times New Roman" w:eastAsia="仿宋_GB2312" w:cs="Times New Roman"/>
          <w:bCs/>
          <w:color w:val="auto"/>
          <w:sz w:val="32"/>
          <w:szCs w:val="32"/>
          <w:highlight w:val="none"/>
        </w:rPr>
        <w:t>建立协同共治体系，形成协调联动、共抓收入的强大合力。</w:t>
      </w:r>
      <w:r>
        <w:rPr>
          <w:rFonts w:hint="eastAsia" w:ascii="仿宋_GB2312" w:hAnsi="仿宋_GB2312" w:eastAsia="仿宋_GB2312" w:cs="仿宋_GB2312"/>
          <w:b/>
          <w:bCs/>
          <w:color w:val="auto"/>
          <w:kern w:val="0"/>
          <w:sz w:val="32"/>
          <w:szCs w:val="32"/>
          <w:highlight w:val="none"/>
          <w:lang w:val="en-US" w:eastAsia="zh-CN" w:bidi="ar-SA"/>
        </w:rPr>
        <w:t>二是</w:t>
      </w:r>
      <w:r>
        <w:rPr>
          <w:rFonts w:hint="eastAsia" w:ascii="仿宋_GB2312" w:hAnsi="仿宋_GB2312" w:eastAsia="仿宋_GB2312" w:cs="仿宋_GB2312"/>
          <w:b w:val="0"/>
          <w:bCs w:val="0"/>
          <w:color w:val="auto"/>
          <w:sz w:val="32"/>
          <w:szCs w:val="32"/>
          <w:highlight w:val="none"/>
          <w:lang w:val="en-US" w:eastAsia="zh-CN"/>
        </w:rPr>
        <w:t>强化税收征管，应收尽收保收入。坚持以税务部门征收为主的</w:t>
      </w:r>
      <w:r>
        <w:rPr>
          <w:rFonts w:hint="eastAsia" w:ascii="Times New Roman" w:hAnsi="Times New Roman" w:eastAsia="仿宋_GB2312" w:cs="Times New Roman"/>
          <w:bCs/>
          <w:color w:val="auto"/>
          <w:sz w:val="32"/>
          <w:szCs w:val="32"/>
          <w:highlight w:val="none"/>
          <w:lang w:val="en-US" w:eastAsia="zh-CN"/>
        </w:rPr>
        <w:t>征管机制，</w:t>
      </w:r>
      <w:r>
        <w:rPr>
          <w:rFonts w:hint="eastAsia" w:ascii="Times New Roman" w:hAnsi="Times New Roman" w:eastAsia="仿宋_GB2312" w:cs="Times New Roman"/>
          <w:bCs/>
          <w:color w:val="auto"/>
          <w:sz w:val="32"/>
          <w:szCs w:val="32"/>
          <w:highlight w:val="none"/>
        </w:rPr>
        <w:t>掌握企业生产经营情况及税源变化，加强对重点企业、重点税源的跟踪监控</w:t>
      </w:r>
      <w:r>
        <w:rPr>
          <w:rFonts w:hint="eastAsia" w:ascii="Times New Roman" w:hAnsi="Times New Roman" w:eastAsia="仿宋_GB2312" w:cs="Times New Roman"/>
          <w:bCs/>
          <w:color w:val="auto"/>
          <w:sz w:val="32"/>
          <w:szCs w:val="32"/>
          <w:highlight w:val="none"/>
          <w:lang w:eastAsia="zh-CN"/>
        </w:rPr>
        <w:t>，做到应收尽收、颗粒归仓。</w:t>
      </w:r>
      <w:r>
        <w:rPr>
          <w:rFonts w:hint="eastAsia" w:ascii="Times New Roman" w:hAnsi="Times New Roman" w:eastAsia="仿宋_GB2312" w:cs="Times New Roman"/>
          <w:b/>
          <w:bCs w:val="0"/>
          <w:color w:val="auto"/>
          <w:sz w:val="32"/>
          <w:szCs w:val="32"/>
          <w:highlight w:val="none"/>
        </w:rPr>
        <w:t> </w:t>
      </w:r>
      <w:r>
        <w:rPr>
          <w:rFonts w:hint="eastAsia" w:ascii="仿宋_GB2312" w:hAnsi="仿宋_GB2312" w:eastAsia="仿宋_GB2312" w:cs="仿宋_GB2312"/>
          <w:b/>
          <w:bCs/>
          <w:color w:val="auto"/>
          <w:kern w:val="0"/>
          <w:sz w:val="32"/>
          <w:szCs w:val="32"/>
          <w:highlight w:val="none"/>
          <w:lang w:val="en-US" w:eastAsia="zh-CN" w:bidi="ar-SA"/>
        </w:rPr>
        <w:t>三是</w:t>
      </w:r>
      <w:r>
        <w:rPr>
          <w:rFonts w:hint="eastAsia" w:ascii="仿宋_GB2312" w:hAnsi="仿宋_GB2312" w:eastAsia="仿宋_GB2312" w:cs="仿宋_GB2312"/>
          <w:b w:val="0"/>
          <w:bCs w:val="0"/>
          <w:color w:val="auto"/>
          <w:kern w:val="0"/>
          <w:sz w:val="32"/>
          <w:szCs w:val="32"/>
          <w:highlight w:val="none"/>
          <w:lang w:val="en-US" w:eastAsia="zh-CN" w:bidi="ar-SA"/>
        </w:rPr>
        <w:t>强化非税收缴，稳存扩增补收入</w:t>
      </w:r>
      <w:r>
        <w:rPr>
          <w:rFonts w:hint="eastAsia" w:ascii="仿宋_GB2312" w:hAnsi="仿宋_GB2312" w:eastAsia="仿宋_GB2312" w:cs="仿宋_GB2312"/>
          <w:b w:val="0"/>
          <w:bCs w:val="0"/>
          <w:color w:val="auto"/>
          <w:sz w:val="32"/>
          <w:szCs w:val="32"/>
          <w:highlight w:val="none"/>
          <w:lang w:val="en-US" w:eastAsia="zh-CN"/>
        </w:rPr>
        <w:t>。持续盘活利用可经营性国有资产，实现资产管理收入的增长，深挖非税收入潜力，拓宽政府和企业的财源渠道</w:t>
      </w:r>
      <w:r>
        <w:rPr>
          <w:rFonts w:hint="eastAsia" w:hAnsi="仿宋_GB2312" w:cs="仿宋_GB2312"/>
          <w:b w:val="0"/>
          <w:bCs w:val="0"/>
          <w:color w:val="auto"/>
          <w:sz w:val="32"/>
          <w:szCs w:val="32"/>
          <w:highlight w:val="none"/>
          <w:lang w:val="en-US" w:eastAsia="zh-CN"/>
        </w:rPr>
        <w:t>，切实</w:t>
      </w:r>
      <w:r>
        <w:rPr>
          <w:rFonts w:hint="eastAsia" w:ascii="Times New Roman" w:hAnsi="Times New Roman" w:eastAsia="仿宋_GB2312" w:cs="Times New Roman"/>
          <w:bCs/>
          <w:color w:val="auto"/>
          <w:sz w:val="32"/>
          <w:szCs w:val="32"/>
          <w:highlight w:val="none"/>
        </w:rPr>
        <w:t>做到应收尽收，充分发挥非税</w:t>
      </w:r>
      <w:r>
        <w:rPr>
          <w:rFonts w:hint="eastAsia" w:ascii="Times New Roman" w:hAnsi="Times New Roman" w:eastAsia="仿宋_GB2312" w:cs="Times New Roman"/>
          <w:bCs/>
          <w:color w:val="auto"/>
          <w:sz w:val="32"/>
          <w:szCs w:val="32"/>
          <w:highlight w:val="none"/>
          <w:lang w:val="en-US" w:eastAsia="zh-CN"/>
        </w:rPr>
        <w:t>收入</w:t>
      </w:r>
      <w:r>
        <w:rPr>
          <w:rFonts w:hint="eastAsia" w:ascii="Times New Roman" w:hAnsi="Times New Roman" w:eastAsia="仿宋_GB2312" w:cs="Times New Roman"/>
          <w:bCs/>
          <w:color w:val="auto"/>
          <w:sz w:val="32"/>
          <w:szCs w:val="32"/>
          <w:highlight w:val="none"/>
        </w:rPr>
        <w:t>对财政收入的补充作用</w:t>
      </w:r>
      <w:r>
        <w:rPr>
          <w:rFonts w:hint="eastAsia" w:ascii="Times New Roman" w:hAnsi="Times New Roman" w:eastAsia="仿宋_GB2312" w:cs="Times New Roman"/>
          <w:bCs/>
          <w:color w:val="auto"/>
          <w:sz w:val="32"/>
          <w:szCs w:val="32"/>
          <w:highlight w:val="none"/>
          <w:lang w:eastAsia="zh-CN"/>
        </w:rPr>
        <w:t>。</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（二）念好财政“紧箍咒”，守住财政安全底线</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hAnsi="仿宋_GB2312" w:cs="仿宋_GB2312"/>
          <w:color w:val="auto"/>
          <w:kern w:val="2"/>
          <w:sz w:val="32"/>
          <w:szCs w:val="32"/>
          <w:highlight w:val="none"/>
          <w:lang w:val="en-US" w:eastAsia="zh-CN" w:bidi="ar-SA"/>
        </w:rPr>
      </w:pPr>
      <w:r>
        <w:rPr>
          <w:rFonts w:hint="eastAsia" w:hAnsi="仿宋_GB2312" w:cs="仿宋_GB2312"/>
          <w:color w:val="auto"/>
          <w:kern w:val="2"/>
          <w:sz w:val="32"/>
          <w:szCs w:val="32"/>
          <w:highlight w:val="none"/>
          <w:lang w:val="en-US" w:eastAsia="zh-CN" w:bidi="ar-SA"/>
        </w:rPr>
        <w:t>将政府过“紧日子”要求作为财政工作的指导方针，贯穿预算编制执行、政府采购、资产管理等各方面。围绕区委、区政府、市财政重大决策部署，进一步优化调整项目支出结构，严控一般性支出，压减压实非刚性、非重点项目支出，实事求是保障好部门必要支出，从严从紧安排部门预算规模，全力保障海南自由贸易港封关任务所需条件。执行开源节流十条措施，完善“三公”经费执行常态化监控机制，及时发现管理使用中的问题，督促将过紧日子的要求落实到位。</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（三）打好管理“组合拳”，兜牢三保支出</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ascii="仿宋_GB2312" w:eastAsia="仿宋_GB2312"/>
          <w:color w:val="auto"/>
          <w:sz w:val="32"/>
          <w:szCs w:val="32"/>
          <w:highlight w:val="none"/>
        </w:rPr>
        <w:t>全力化解收支矛盾</w:t>
      </w:r>
      <w:r>
        <w:rPr>
          <w:rFonts w:hint="eastAsia"/>
          <w:color w:val="auto"/>
          <w:sz w:val="32"/>
          <w:szCs w:val="32"/>
          <w:highlight w:val="none"/>
          <w:lang w:eastAsia="zh-CN"/>
        </w:rPr>
        <w:t>、</w:t>
      </w:r>
      <w:r>
        <w:rPr>
          <w:rFonts w:ascii="仿宋_GB2312" w:eastAsia="仿宋_GB2312"/>
          <w:color w:val="auto"/>
          <w:sz w:val="32"/>
          <w:szCs w:val="32"/>
          <w:highlight w:val="none"/>
        </w:rPr>
        <w:t>严控支出，落实厉行节约基调</w:t>
      </w:r>
      <w:r>
        <w:rPr>
          <w:rFonts w:hint="eastAsia"/>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zh-CN" w:eastAsia="zh-CN" w:bidi="ar-SA"/>
        </w:rPr>
        <w:t>聚焦困难最大群体、需求最强烈事项，细化完善民生政策举措。落实好教育、养老、医疗、优抚等方面的补助政策，织密扎牢民生兜底保障网。督促</w:t>
      </w:r>
      <w:r>
        <w:rPr>
          <w:rFonts w:hint="eastAsia" w:hAnsi="仿宋_GB2312" w:cs="仿宋_GB2312"/>
          <w:color w:val="auto"/>
          <w:kern w:val="0"/>
          <w:sz w:val="32"/>
          <w:szCs w:val="32"/>
          <w:highlight w:val="none"/>
          <w:lang w:val="en-US" w:eastAsia="zh-CN" w:bidi="ar-SA"/>
        </w:rPr>
        <w:t>行业部门</w:t>
      </w:r>
      <w:r>
        <w:rPr>
          <w:rFonts w:hint="eastAsia" w:ascii="仿宋_GB2312" w:hAnsi="仿宋_GB2312" w:eastAsia="仿宋_GB2312" w:cs="仿宋_GB2312"/>
          <w:color w:val="auto"/>
          <w:kern w:val="0"/>
          <w:sz w:val="32"/>
          <w:szCs w:val="32"/>
          <w:highlight w:val="none"/>
          <w:lang w:val="zh-CN" w:eastAsia="zh-CN" w:bidi="ar-SA"/>
        </w:rPr>
        <w:t>加强民生领域资金管理，确保基层“三保”按时足额支出、各项惠民政策落到实处。</w:t>
      </w:r>
      <w:r>
        <w:rPr>
          <w:rFonts w:hint="eastAsia" w:ascii="仿宋_GB2312" w:hAnsi="仿宋_GB2312" w:eastAsia="仿宋_GB2312" w:cs="仿宋_GB2312"/>
          <w:color w:val="auto"/>
          <w:sz w:val="32"/>
          <w:szCs w:val="32"/>
          <w:highlight w:val="none"/>
        </w:rPr>
        <w:t>加强预算支出控制等措施，强化统一调度和监管，做实事前审核、事中监控、事后处置的“三保”预算管理工作机制，提高自我发展能力。</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（四）聚力民生服务，书写人民满意答卷</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hAnsi="仿宋_GB2312" w:cs="仿宋_GB2312"/>
          <w:color w:val="auto"/>
          <w:sz w:val="32"/>
          <w:szCs w:val="32"/>
          <w:highlight w:val="none"/>
          <w:lang w:val="en-US" w:eastAsia="zh-CN"/>
        </w:rPr>
        <w:t>办好民生实事，服务社区百姓。</w:t>
      </w:r>
      <w:r>
        <w:rPr>
          <w:rFonts w:hint="eastAsia" w:ascii="仿宋_GB2312" w:hAnsi="仿宋_GB2312" w:eastAsia="仿宋_GB2312" w:cs="仿宋_GB2312"/>
          <w:color w:val="auto"/>
          <w:sz w:val="32"/>
          <w:szCs w:val="32"/>
          <w:highlight w:val="none"/>
        </w:rPr>
        <w:t>坚持以人民为中心的发展思想，把改善民生</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扶贫、义务教育、基本养老、基本医疗、城乡低保等基本民生支出作为一切工作的出发点和落脚点，在发展中保障和改善民生，不断提升公共服务能力和水平，增进民生福祉，让人民群众共享经济社会发展成果，使人民获得感、幸福感、安全感更充实、有保障、可持续。</w:t>
      </w:r>
    </w:p>
    <w:p>
      <w:pPr>
        <w:pStyle w:val="15"/>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Cs/>
          <w:color w:val="auto"/>
          <w:sz w:val="32"/>
          <w:szCs w:val="32"/>
          <w:highlight w:val="none"/>
          <w:lang w:val="en-US" w:eastAsia="zh-CN"/>
        </w:rPr>
      </w:pPr>
      <w:r>
        <w:rPr>
          <w:rFonts w:hint="eastAsia" w:ascii="楷体_GB2312" w:hAnsi="楷体_GB2312" w:eastAsia="楷体_GB2312" w:cs="楷体_GB2312"/>
          <w:bCs/>
          <w:color w:val="auto"/>
          <w:sz w:val="32"/>
          <w:szCs w:val="32"/>
          <w:highlight w:val="none"/>
          <w:lang w:val="en-US" w:eastAsia="zh-CN"/>
        </w:rPr>
        <w:t>（五）严肃财经纪律，筑牢思想根基</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3" w:firstLineChars="200"/>
        <w:textAlignment w:val="auto"/>
        <w:rPr>
          <w:rFonts w:hint="eastAsia" w:hAnsi="宋体" w:cs="宋体"/>
          <w:color w:val="auto"/>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一是</w:t>
      </w:r>
      <w:r>
        <w:rPr>
          <w:rFonts w:hint="eastAsia" w:ascii="Times New Roman" w:hAnsi="Times New Roman" w:eastAsia="仿宋_GB2312" w:cs="Times New Roman"/>
          <w:color w:val="auto"/>
          <w:sz w:val="32"/>
          <w:szCs w:val="32"/>
          <w:highlight w:val="none"/>
          <w:lang w:val="en-US" w:eastAsia="zh-CN"/>
        </w:rPr>
        <w:t>深入学习党的二十大精神，坚持党的全面领导，</w:t>
      </w:r>
      <w:r>
        <w:rPr>
          <w:rFonts w:hint="eastAsia" w:ascii="Times New Roman" w:hAnsi="Times New Roman" w:cs="Times New Roman"/>
          <w:color w:val="auto"/>
          <w:sz w:val="32"/>
          <w:szCs w:val="32"/>
          <w:highlight w:val="none"/>
          <w:lang w:val="en-US" w:eastAsia="zh-CN"/>
        </w:rPr>
        <w:t>拥护</w:t>
      </w:r>
      <w:r>
        <w:rPr>
          <w:rFonts w:hint="eastAsia" w:ascii="Times New Roman" w:hAnsi="Times New Roman" w:eastAsia="仿宋_GB2312" w:cs="Times New Roman"/>
          <w:color w:val="auto"/>
          <w:sz w:val="32"/>
          <w:szCs w:val="32"/>
          <w:highlight w:val="none"/>
          <w:lang w:val="en-US" w:eastAsia="zh-CN"/>
        </w:rPr>
        <w:t>“两个确立”</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增强“四个意识”</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坚定“四个自信”</w:t>
      </w:r>
      <w:r>
        <w:rPr>
          <w:rFonts w:hint="eastAsia" w:ascii="Times New Roman" w:hAnsi="Times New Roman" w:cs="Times New Roman"/>
          <w:color w:val="auto"/>
          <w:sz w:val="32"/>
          <w:szCs w:val="32"/>
          <w:highlight w:val="none"/>
          <w:lang w:val="en-US" w:eastAsia="zh-CN"/>
        </w:rPr>
        <w:t>、</w:t>
      </w:r>
      <w:r>
        <w:rPr>
          <w:rFonts w:hint="eastAsia" w:ascii="Times New Roman" w:hAnsi="Times New Roman" w:eastAsia="仿宋_GB2312" w:cs="Times New Roman"/>
          <w:color w:val="auto"/>
          <w:sz w:val="32"/>
          <w:szCs w:val="32"/>
          <w:highlight w:val="none"/>
          <w:lang w:val="en-US" w:eastAsia="zh-CN"/>
        </w:rPr>
        <w:t>做到“两个维护”</w:t>
      </w:r>
      <w:r>
        <w:rPr>
          <w:rFonts w:hint="eastAsia" w:ascii="Times New Roman" w:hAnsi="Times New Roman" w:cs="Times New Roman"/>
          <w:color w:val="auto"/>
          <w:sz w:val="32"/>
          <w:szCs w:val="32"/>
          <w:highlight w:val="none"/>
          <w:lang w:val="en-US" w:eastAsia="zh-CN"/>
        </w:rPr>
        <w:t>，</w:t>
      </w:r>
      <w:r>
        <w:rPr>
          <w:rFonts w:hint="eastAsia"/>
          <w:color w:val="auto"/>
          <w:highlight w:val="none"/>
          <w:lang w:val="en-US" w:eastAsia="zh-CN"/>
        </w:rPr>
        <w:t>贯彻执行重大决策部署，以实际行动和成效践行对党的忠诚。</w:t>
      </w:r>
      <w:r>
        <w:rPr>
          <w:rFonts w:hint="eastAsia"/>
          <w:b/>
          <w:bCs/>
          <w:color w:val="auto"/>
          <w:highlight w:val="none"/>
          <w:lang w:val="en-US" w:eastAsia="zh-CN"/>
        </w:rPr>
        <w:t>二是</w:t>
      </w:r>
      <w:r>
        <w:rPr>
          <w:rFonts w:hint="eastAsia" w:hAnsi="仿宋_GB2312" w:cs="仿宋_GB2312"/>
          <w:color w:val="auto"/>
          <w:sz w:val="32"/>
          <w:szCs w:val="32"/>
          <w:highlight w:val="none"/>
          <w:lang w:val="en-US" w:eastAsia="zh-CN"/>
        </w:rPr>
        <w:t>切实加强重点领域财经秩序专项整治，坚决遏制财经纪律松弛的态势，以专项整治为契机，结合整治效果，完善制度建设。</w:t>
      </w:r>
      <w:r>
        <w:rPr>
          <w:rFonts w:hint="eastAsia" w:hAnsi="仿宋_GB2312" w:cs="仿宋_GB2312"/>
          <w:b/>
          <w:bCs/>
          <w:color w:val="auto"/>
          <w:sz w:val="32"/>
          <w:szCs w:val="32"/>
          <w:highlight w:val="none"/>
          <w:lang w:val="en-US" w:eastAsia="zh-CN"/>
        </w:rPr>
        <w:t>三是</w:t>
      </w:r>
      <w:r>
        <w:rPr>
          <w:rFonts w:hint="eastAsia" w:hAnsi="宋体" w:cs="宋体"/>
          <w:color w:val="auto"/>
          <w:highlight w:val="none"/>
          <w:lang w:val="en-US" w:eastAsia="zh-CN"/>
        </w:rPr>
        <w:t>建立健全长效机制，及时总结财经工作遇到的疑难杂症，查难点、找盲区、堵漏洞、破堵点</w:t>
      </w:r>
      <w:r>
        <w:rPr>
          <w:rFonts w:hint="eastAsia" w:cs="宋体"/>
          <w:color w:val="auto"/>
          <w:highlight w:val="none"/>
          <w:lang w:val="en-US" w:eastAsia="zh-CN"/>
        </w:rPr>
        <w:t>，</w:t>
      </w:r>
      <w:r>
        <w:rPr>
          <w:rFonts w:hint="eastAsia" w:hAnsi="宋体" w:cs="宋体"/>
          <w:color w:val="auto"/>
          <w:highlight w:val="none"/>
          <w:lang w:val="en-US" w:eastAsia="zh-CN"/>
        </w:rPr>
        <w:t>精确找准问题根源，</w:t>
      </w:r>
      <w:r>
        <w:rPr>
          <w:rFonts w:hint="eastAsia" w:cs="宋体"/>
          <w:color w:val="auto"/>
          <w:highlight w:val="none"/>
          <w:lang w:val="en-US" w:eastAsia="zh-CN"/>
        </w:rPr>
        <w:t>督促落实问题整改工作，进</w:t>
      </w:r>
      <w:r>
        <w:rPr>
          <w:rFonts w:hint="eastAsia" w:hAnsi="宋体" w:cs="宋体"/>
          <w:color w:val="auto"/>
          <w:highlight w:val="none"/>
          <w:lang w:val="en-US" w:eastAsia="zh-CN"/>
        </w:rPr>
        <w:t>一步完善管理制度和方式方法，努力做到既管得住当下，又见长效机制，为我区财经纪律健康发展提供有效保障。</w:t>
      </w:r>
      <w:r>
        <w:rPr>
          <w:rFonts w:hint="eastAsia" w:cs="宋体"/>
          <w:color w:val="auto"/>
          <w:highlight w:val="none"/>
          <w:lang w:val="en-US" w:eastAsia="zh-CN"/>
        </w:rPr>
        <w:t>制定预算单位财会监督方案，完善财会监督体系，形成部门与财政之间的监督合力。扎实做好巡视整改、审计整改工作，</w:t>
      </w:r>
      <w:r>
        <w:rPr>
          <w:rFonts w:hint="default" w:ascii="Times New Roman" w:hAnsi="Times New Roman" w:eastAsia="仿宋_GB2312" w:cs="Times New Roman"/>
          <w:color w:val="auto"/>
          <w:sz w:val="32"/>
          <w:szCs w:val="32"/>
          <w:lang w:val="zh-CN"/>
        </w:rPr>
        <w:t>压实整改责任</w:t>
      </w:r>
      <w:r>
        <w:rPr>
          <w:rFonts w:hint="eastAsia" w:ascii="Times New Roman" w:hAnsi="Times New Roman" w:cs="Times New Roman"/>
          <w:color w:val="auto"/>
          <w:sz w:val="32"/>
          <w:szCs w:val="32"/>
          <w:lang w:val="zh-CN"/>
        </w:rPr>
        <w:t>。</w:t>
      </w:r>
      <w:r>
        <w:rPr>
          <w:rFonts w:hint="eastAsia" w:hAnsi="宋体" w:cs="宋体"/>
          <w:b/>
          <w:bCs/>
          <w:color w:val="auto"/>
          <w:highlight w:val="none"/>
          <w:lang w:val="en-US" w:eastAsia="zh-CN"/>
        </w:rPr>
        <w:t>四是</w:t>
      </w:r>
      <w:r>
        <w:rPr>
          <w:rFonts w:hint="eastAsia" w:cs="宋体"/>
          <w:color w:val="auto"/>
          <w:highlight w:val="none"/>
          <w:lang w:val="en-US" w:eastAsia="zh-CN"/>
        </w:rPr>
        <w:t>严格落实三亚市防范化解地方债务风险一揽子工作方案，守住不发生系统性风险的底线。研究制定天涯区防范化解地方债务风险方案，统筹化债和发展的关系，确保法定债务按时足额还本付息，隐性债务按计划化解。</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hAnsi="宋体" w:cs="宋体"/>
          <w:color w:val="auto"/>
          <w:lang w:val="en-US" w:eastAsia="zh-CN"/>
        </w:rPr>
      </w:pPr>
      <w:r>
        <w:rPr>
          <w:rFonts w:hint="eastAsia" w:hAnsi="宋体" w:cs="宋体"/>
          <w:color w:val="auto"/>
          <w:highlight w:val="none"/>
          <w:lang w:val="en-US" w:eastAsia="zh-CN"/>
        </w:rPr>
        <w:t>主任、各位副主任、各位委员，下一步，我们将继续以习近平新时代中国特色社会主义思想为指导，自觉接受区人大及其常委会的监督，解放思想，敢闯敢试，积极发挥财政职能作用，勇于担当，求真务实，更加扎实地把省、市的各项决策部署落到实处，以实际行动贯彻党的二十大精神。</w:t>
      </w:r>
    </w:p>
    <w:p>
      <w:pPr>
        <w:pStyle w:val="15"/>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pacing w:line="560" w:lineRule="exact"/>
        <w:ind w:firstLine="640" w:firstLineChars="200"/>
        <w:textAlignment w:val="auto"/>
        <w:rPr>
          <w:rFonts w:hint="eastAsia" w:hAnsi="宋体" w:cs="宋体"/>
          <w:color w:val="auto"/>
          <w:lang w:val="en-US" w:eastAsia="zh-CN"/>
        </w:rPr>
      </w:pPr>
    </w:p>
    <w:sectPr>
      <w:footerReference r:id="rId3" w:type="default"/>
      <w:pgSz w:w="11906" w:h="16838"/>
      <w:pgMar w:top="2098" w:right="1474" w:bottom="1984" w:left="158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p>
    <w:pPr>
      <w:pStyle w:val="8"/>
      <w:rPr>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12BD5"/>
    <w:rsid w:val="01791D98"/>
    <w:rsid w:val="01B34BBB"/>
    <w:rsid w:val="023F5F3C"/>
    <w:rsid w:val="02A208C8"/>
    <w:rsid w:val="02C86963"/>
    <w:rsid w:val="03217983"/>
    <w:rsid w:val="0377721A"/>
    <w:rsid w:val="03D2758F"/>
    <w:rsid w:val="04010DEA"/>
    <w:rsid w:val="04097825"/>
    <w:rsid w:val="04E16D26"/>
    <w:rsid w:val="04E97874"/>
    <w:rsid w:val="05797853"/>
    <w:rsid w:val="05C9498B"/>
    <w:rsid w:val="061C4F78"/>
    <w:rsid w:val="062E018D"/>
    <w:rsid w:val="067A49EA"/>
    <w:rsid w:val="06C418D4"/>
    <w:rsid w:val="06D971B8"/>
    <w:rsid w:val="07591424"/>
    <w:rsid w:val="0798461E"/>
    <w:rsid w:val="079C3D33"/>
    <w:rsid w:val="07B06A59"/>
    <w:rsid w:val="07F05CB2"/>
    <w:rsid w:val="08293036"/>
    <w:rsid w:val="08AF77C2"/>
    <w:rsid w:val="08BB2416"/>
    <w:rsid w:val="09163AA5"/>
    <w:rsid w:val="098147FC"/>
    <w:rsid w:val="09D47D50"/>
    <w:rsid w:val="0A362229"/>
    <w:rsid w:val="0A4D5913"/>
    <w:rsid w:val="0AB35A96"/>
    <w:rsid w:val="0B0D25F6"/>
    <w:rsid w:val="0B655654"/>
    <w:rsid w:val="0C3923EA"/>
    <w:rsid w:val="0CFD2455"/>
    <w:rsid w:val="0D0525AE"/>
    <w:rsid w:val="0D084B4D"/>
    <w:rsid w:val="0D3E6A92"/>
    <w:rsid w:val="0E395459"/>
    <w:rsid w:val="0E441F6B"/>
    <w:rsid w:val="0E4655A9"/>
    <w:rsid w:val="0E81236A"/>
    <w:rsid w:val="0EF569E4"/>
    <w:rsid w:val="10367646"/>
    <w:rsid w:val="10A66E63"/>
    <w:rsid w:val="10B3000F"/>
    <w:rsid w:val="11A74399"/>
    <w:rsid w:val="11AD0DB8"/>
    <w:rsid w:val="122845C6"/>
    <w:rsid w:val="12554CF3"/>
    <w:rsid w:val="127425EB"/>
    <w:rsid w:val="12964EBF"/>
    <w:rsid w:val="12B1076E"/>
    <w:rsid w:val="12D2213E"/>
    <w:rsid w:val="12F8598A"/>
    <w:rsid w:val="13413F3F"/>
    <w:rsid w:val="136E1E75"/>
    <w:rsid w:val="13A30EA5"/>
    <w:rsid w:val="13D44899"/>
    <w:rsid w:val="14061DEE"/>
    <w:rsid w:val="14460234"/>
    <w:rsid w:val="14540750"/>
    <w:rsid w:val="14E22291"/>
    <w:rsid w:val="14FC0CB7"/>
    <w:rsid w:val="14FF353A"/>
    <w:rsid w:val="15CE246D"/>
    <w:rsid w:val="16506A6A"/>
    <w:rsid w:val="16C772C3"/>
    <w:rsid w:val="16D00853"/>
    <w:rsid w:val="1720491A"/>
    <w:rsid w:val="17383CC6"/>
    <w:rsid w:val="17776899"/>
    <w:rsid w:val="178B03C2"/>
    <w:rsid w:val="17A02946"/>
    <w:rsid w:val="181C581E"/>
    <w:rsid w:val="182343D4"/>
    <w:rsid w:val="187021BF"/>
    <w:rsid w:val="18731403"/>
    <w:rsid w:val="189A13EA"/>
    <w:rsid w:val="18A92366"/>
    <w:rsid w:val="18F050B8"/>
    <w:rsid w:val="199712CB"/>
    <w:rsid w:val="19D0089A"/>
    <w:rsid w:val="1A1F1B01"/>
    <w:rsid w:val="1A3A34E0"/>
    <w:rsid w:val="1A4D7A76"/>
    <w:rsid w:val="1A91109D"/>
    <w:rsid w:val="1ABF08D7"/>
    <w:rsid w:val="1B082D6A"/>
    <w:rsid w:val="1B1D45B6"/>
    <w:rsid w:val="1B3230AE"/>
    <w:rsid w:val="1BCC6C62"/>
    <w:rsid w:val="1BDA3B84"/>
    <w:rsid w:val="1C433B4A"/>
    <w:rsid w:val="1C484A91"/>
    <w:rsid w:val="1CDB406F"/>
    <w:rsid w:val="1CF27711"/>
    <w:rsid w:val="1D87686D"/>
    <w:rsid w:val="1DF64F93"/>
    <w:rsid w:val="1E1255FC"/>
    <w:rsid w:val="1E4162FF"/>
    <w:rsid w:val="1E465C34"/>
    <w:rsid w:val="1EA639C7"/>
    <w:rsid w:val="1EBB4BAA"/>
    <w:rsid w:val="1ED45968"/>
    <w:rsid w:val="1F4F4349"/>
    <w:rsid w:val="1F810B91"/>
    <w:rsid w:val="1F8F5EBB"/>
    <w:rsid w:val="1FC163CF"/>
    <w:rsid w:val="20AB26F1"/>
    <w:rsid w:val="20B83FBE"/>
    <w:rsid w:val="20C155E2"/>
    <w:rsid w:val="20CB7943"/>
    <w:rsid w:val="219D6593"/>
    <w:rsid w:val="21EA6F5A"/>
    <w:rsid w:val="221D1CF6"/>
    <w:rsid w:val="222D0F7E"/>
    <w:rsid w:val="22334D0A"/>
    <w:rsid w:val="22AF3895"/>
    <w:rsid w:val="22E56B7A"/>
    <w:rsid w:val="23994CD2"/>
    <w:rsid w:val="24401D23"/>
    <w:rsid w:val="246623F1"/>
    <w:rsid w:val="24A51E70"/>
    <w:rsid w:val="24C02FFA"/>
    <w:rsid w:val="25434244"/>
    <w:rsid w:val="255F29F3"/>
    <w:rsid w:val="25765077"/>
    <w:rsid w:val="25D651AF"/>
    <w:rsid w:val="260C56B5"/>
    <w:rsid w:val="26D63A2D"/>
    <w:rsid w:val="27B059D5"/>
    <w:rsid w:val="27BA732D"/>
    <w:rsid w:val="27CE3357"/>
    <w:rsid w:val="282A373A"/>
    <w:rsid w:val="28612C19"/>
    <w:rsid w:val="287C46BA"/>
    <w:rsid w:val="28FD7098"/>
    <w:rsid w:val="291331F5"/>
    <w:rsid w:val="29A96F01"/>
    <w:rsid w:val="29BF5BA9"/>
    <w:rsid w:val="29C4085D"/>
    <w:rsid w:val="29F605DA"/>
    <w:rsid w:val="2B983FA9"/>
    <w:rsid w:val="2C673A26"/>
    <w:rsid w:val="2C692B5C"/>
    <w:rsid w:val="2CE269F5"/>
    <w:rsid w:val="2CE35EF8"/>
    <w:rsid w:val="2CEC6DBF"/>
    <w:rsid w:val="2D146543"/>
    <w:rsid w:val="2D6C65DE"/>
    <w:rsid w:val="2DC26000"/>
    <w:rsid w:val="2E182730"/>
    <w:rsid w:val="2E510111"/>
    <w:rsid w:val="2E7729D3"/>
    <w:rsid w:val="2E96407D"/>
    <w:rsid w:val="2ED03390"/>
    <w:rsid w:val="2EEB42A9"/>
    <w:rsid w:val="2F6C675D"/>
    <w:rsid w:val="2F8A644D"/>
    <w:rsid w:val="2FC835F4"/>
    <w:rsid w:val="2FF31B29"/>
    <w:rsid w:val="2FF601E8"/>
    <w:rsid w:val="307626AB"/>
    <w:rsid w:val="30D2006B"/>
    <w:rsid w:val="31054006"/>
    <w:rsid w:val="31172DE4"/>
    <w:rsid w:val="31560234"/>
    <w:rsid w:val="31587EE6"/>
    <w:rsid w:val="32977F16"/>
    <w:rsid w:val="32A73780"/>
    <w:rsid w:val="32AE30C5"/>
    <w:rsid w:val="32C10D3F"/>
    <w:rsid w:val="32FE46F8"/>
    <w:rsid w:val="334B207A"/>
    <w:rsid w:val="33EB3BB8"/>
    <w:rsid w:val="349D4871"/>
    <w:rsid w:val="34BC779F"/>
    <w:rsid w:val="354E5E11"/>
    <w:rsid w:val="35677667"/>
    <w:rsid w:val="35DD4437"/>
    <w:rsid w:val="360A769D"/>
    <w:rsid w:val="37203F33"/>
    <w:rsid w:val="39A76D2A"/>
    <w:rsid w:val="39E4127F"/>
    <w:rsid w:val="3A08348C"/>
    <w:rsid w:val="3A2E61EC"/>
    <w:rsid w:val="3ACC4C7E"/>
    <w:rsid w:val="3AF44D78"/>
    <w:rsid w:val="3B6C445E"/>
    <w:rsid w:val="3BA81E36"/>
    <w:rsid w:val="3BC33B1F"/>
    <w:rsid w:val="3C9E5933"/>
    <w:rsid w:val="3CFC5356"/>
    <w:rsid w:val="3CFF0256"/>
    <w:rsid w:val="3D2F1B88"/>
    <w:rsid w:val="3D853073"/>
    <w:rsid w:val="3EC82659"/>
    <w:rsid w:val="3EF718DC"/>
    <w:rsid w:val="3F4A4287"/>
    <w:rsid w:val="3FAB6369"/>
    <w:rsid w:val="3FB30AEB"/>
    <w:rsid w:val="40D80AC6"/>
    <w:rsid w:val="41344F28"/>
    <w:rsid w:val="41391EAD"/>
    <w:rsid w:val="41D13842"/>
    <w:rsid w:val="41E178DB"/>
    <w:rsid w:val="41E66BCD"/>
    <w:rsid w:val="42B1449D"/>
    <w:rsid w:val="42FE3795"/>
    <w:rsid w:val="43480939"/>
    <w:rsid w:val="441F0A05"/>
    <w:rsid w:val="44846697"/>
    <w:rsid w:val="44B24753"/>
    <w:rsid w:val="452C7750"/>
    <w:rsid w:val="453D23BA"/>
    <w:rsid w:val="45626A1D"/>
    <w:rsid w:val="45B6686F"/>
    <w:rsid w:val="47002FC9"/>
    <w:rsid w:val="47130E25"/>
    <w:rsid w:val="47176EFD"/>
    <w:rsid w:val="48015C88"/>
    <w:rsid w:val="48022A26"/>
    <w:rsid w:val="481B1BFB"/>
    <w:rsid w:val="48F86C65"/>
    <w:rsid w:val="492C4F14"/>
    <w:rsid w:val="49300ACB"/>
    <w:rsid w:val="49495B75"/>
    <w:rsid w:val="4956702C"/>
    <w:rsid w:val="4967139C"/>
    <w:rsid w:val="49EB4124"/>
    <w:rsid w:val="4A10776E"/>
    <w:rsid w:val="4A73420D"/>
    <w:rsid w:val="4ADF6154"/>
    <w:rsid w:val="4B63348C"/>
    <w:rsid w:val="4BE15789"/>
    <w:rsid w:val="4D597627"/>
    <w:rsid w:val="4D8B25B8"/>
    <w:rsid w:val="4E0A7424"/>
    <w:rsid w:val="4E7D15EA"/>
    <w:rsid w:val="4EA24FF1"/>
    <w:rsid w:val="4EA35BF2"/>
    <w:rsid w:val="4F8B68A5"/>
    <w:rsid w:val="4F9E74C5"/>
    <w:rsid w:val="5065691D"/>
    <w:rsid w:val="50AE35E1"/>
    <w:rsid w:val="50CC149F"/>
    <w:rsid w:val="50E90290"/>
    <w:rsid w:val="50E92412"/>
    <w:rsid w:val="51326237"/>
    <w:rsid w:val="51351C29"/>
    <w:rsid w:val="514D0A3C"/>
    <w:rsid w:val="515F7956"/>
    <w:rsid w:val="51705720"/>
    <w:rsid w:val="51BA11F5"/>
    <w:rsid w:val="52430167"/>
    <w:rsid w:val="5257301B"/>
    <w:rsid w:val="527D59BA"/>
    <w:rsid w:val="53BC44F7"/>
    <w:rsid w:val="546B7AA2"/>
    <w:rsid w:val="54902C34"/>
    <w:rsid w:val="54AB6438"/>
    <w:rsid w:val="54CA42CC"/>
    <w:rsid w:val="54D41351"/>
    <w:rsid w:val="55B57D03"/>
    <w:rsid w:val="55D4492A"/>
    <w:rsid w:val="568E6500"/>
    <w:rsid w:val="56B6562E"/>
    <w:rsid w:val="56B73531"/>
    <w:rsid w:val="56C06FE9"/>
    <w:rsid w:val="588C1C2B"/>
    <w:rsid w:val="58DF0713"/>
    <w:rsid w:val="58FD0CFF"/>
    <w:rsid w:val="58FF2B58"/>
    <w:rsid w:val="59636506"/>
    <w:rsid w:val="599E180F"/>
    <w:rsid w:val="59B072AA"/>
    <w:rsid w:val="5A0A7D00"/>
    <w:rsid w:val="5A2559FB"/>
    <w:rsid w:val="5AEE786B"/>
    <w:rsid w:val="5BCE3D2F"/>
    <w:rsid w:val="5C7F7595"/>
    <w:rsid w:val="5D0F5B6B"/>
    <w:rsid w:val="5D1A3D61"/>
    <w:rsid w:val="5D8A67C2"/>
    <w:rsid w:val="5E2511BD"/>
    <w:rsid w:val="5E7C0028"/>
    <w:rsid w:val="5EAB629B"/>
    <w:rsid w:val="5F237F2B"/>
    <w:rsid w:val="5F471A27"/>
    <w:rsid w:val="5F49138B"/>
    <w:rsid w:val="5FF83E70"/>
    <w:rsid w:val="60123E14"/>
    <w:rsid w:val="60985A99"/>
    <w:rsid w:val="60A8044F"/>
    <w:rsid w:val="61B20FBA"/>
    <w:rsid w:val="61CA4795"/>
    <w:rsid w:val="624326EB"/>
    <w:rsid w:val="62F06ED9"/>
    <w:rsid w:val="634E5A7B"/>
    <w:rsid w:val="6381209E"/>
    <w:rsid w:val="63BD0ED6"/>
    <w:rsid w:val="64007896"/>
    <w:rsid w:val="64BB1FE4"/>
    <w:rsid w:val="658A3EE6"/>
    <w:rsid w:val="65C00AD2"/>
    <w:rsid w:val="65F959D8"/>
    <w:rsid w:val="65FA37EF"/>
    <w:rsid w:val="65FF5E18"/>
    <w:rsid w:val="662F370E"/>
    <w:rsid w:val="663938CC"/>
    <w:rsid w:val="66712BD5"/>
    <w:rsid w:val="66E474F1"/>
    <w:rsid w:val="683404FC"/>
    <w:rsid w:val="69B056D4"/>
    <w:rsid w:val="69E602BC"/>
    <w:rsid w:val="6A6D7F84"/>
    <w:rsid w:val="6BB8082B"/>
    <w:rsid w:val="6C5B2CF5"/>
    <w:rsid w:val="6D653D13"/>
    <w:rsid w:val="6E711438"/>
    <w:rsid w:val="6EE52E54"/>
    <w:rsid w:val="6F4F4A81"/>
    <w:rsid w:val="6FF15DFF"/>
    <w:rsid w:val="702D592C"/>
    <w:rsid w:val="703400AA"/>
    <w:rsid w:val="703B6656"/>
    <w:rsid w:val="703C6A04"/>
    <w:rsid w:val="709A4BF5"/>
    <w:rsid w:val="709D21BF"/>
    <w:rsid w:val="70B05BEB"/>
    <w:rsid w:val="70E660FC"/>
    <w:rsid w:val="710E355C"/>
    <w:rsid w:val="71163981"/>
    <w:rsid w:val="712D0D41"/>
    <w:rsid w:val="71A6449A"/>
    <w:rsid w:val="72051745"/>
    <w:rsid w:val="725300F9"/>
    <w:rsid w:val="731D7D18"/>
    <w:rsid w:val="738F4075"/>
    <w:rsid w:val="73C7135B"/>
    <w:rsid w:val="73E72960"/>
    <w:rsid w:val="74E41B23"/>
    <w:rsid w:val="74F649D5"/>
    <w:rsid w:val="7506345C"/>
    <w:rsid w:val="752D22F2"/>
    <w:rsid w:val="7722255A"/>
    <w:rsid w:val="77A828F7"/>
    <w:rsid w:val="77ED44D3"/>
    <w:rsid w:val="787E28DE"/>
    <w:rsid w:val="788D1490"/>
    <w:rsid w:val="789568C8"/>
    <w:rsid w:val="78C86104"/>
    <w:rsid w:val="78FB4761"/>
    <w:rsid w:val="797E22DA"/>
    <w:rsid w:val="797F4374"/>
    <w:rsid w:val="7A831329"/>
    <w:rsid w:val="7A84479B"/>
    <w:rsid w:val="7AA143DE"/>
    <w:rsid w:val="7AB566A3"/>
    <w:rsid w:val="7AD37A5D"/>
    <w:rsid w:val="7B4C32BC"/>
    <w:rsid w:val="7B6D6743"/>
    <w:rsid w:val="7B7C2889"/>
    <w:rsid w:val="7B973150"/>
    <w:rsid w:val="7BE3700B"/>
    <w:rsid w:val="7C245081"/>
    <w:rsid w:val="7C551B0B"/>
    <w:rsid w:val="7C8959F9"/>
    <w:rsid w:val="7CAC5419"/>
    <w:rsid w:val="7D8275A6"/>
    <w:rsid w:val="7DC17906"/>
    <w:rsid w:val="7DD51569"/>
    <w:rsid w:val="7DFD6E82"/>
    <w:rsid w:val="7E230764"/>
    <w:rsid w:val="7E766176"/>
    <w:rsid w:val="7EEA2E48"/>
    <w:rsid w:val="7F7F4783"/>
    <w:rsid w:val="7FA648A1"/>
    <w:rsid w:val="7FFA13A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0"/>
    <w:pPr>
      <w:widowControl w:val="0"/>
      <w:overflowPunct/>
      <w:autoSpaceDE/>
      <w:autoSpaceDN/>
      <w:adjustRightInd/>
      <w:ind w:left="420" w:leftChars="200"/>
      <w:textAlignment w:val="auto"/>
    </w:pPr>
    <w:rPr>
      <w:rFonts w:ascii="Calibri" w:hAnsi="Calibri" w:eastAsia="宋体" w:cs="Times New Roman"/>
      <w:kern w:val="2"/>
      <w:szCs w:val="22"/>
    </w:rPr>
  </w:style>
  <w:style w:type="paragraph" w:styleId="5">
    <w:name w:val="Normal Indent"/>
    <w:basedOn w:val="1"/>
    <w:next w:val="1"/>
    <w:qFormat/>
    <w:uiPriority w:val="0"/>
    <w:pPr>
      <w:ind w:firstLine="420" w:firstLineChars="200"/>
    </w:pPr>
    <w:rPr>
      <w:rFonts w:ascii="Calibri" w:hAnsi="Calibri" w:eastAsia="宋体" w:cs="Times New Roman"/>
    </w:rPr>
  </w:style>
  <w:style w:type="paragraph" w:styleId="6">
    <w:name w:val="Salutation"/>
    <w:basedOn w:val="1"/>
    <w:next w:val="1"/>
    <w:qFormat/>
    <w:uiPriority w:val="0"/>
  </w:style>
  <w:style w:type="paragraph" w:styleId="7">
    <w:name w:val="Body Text Indent"/>
    <w:basedOn w:val="1"/>
    <w:qFormat/>
    <w:uiPriority w:val="0"/>
    <w:pPr>
      <w:spacing w:after="12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7"/>
    <w:qFormat/>
    <w:uiPriority w:val="0"/>
    <w:pPr>
      <w:ind w:firstLine="420" w:firstLineChars="200"/>
    </w:p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缩进1"/>
    <w:basedOn w:val="1"/>
    <w:qFormat/>
    <w:uiPriority w:val="0"/>
    <w:pPr>
      <w:ind w:firstLine="420" w:firstLineChars="200"/>
    </w:pPr>
    <w:rPr>
      <w:rFonts w:ascii="Calibri" w:hAnsi="Calibri"/>
      <w:szCs w:val="24"/>
    </w:rPr>
  </w:style>
  <w:style w:type="paragraph" w:customStyle="1" w:styleId="14">
    <w:name w:val="Heading2"/>
    <w:basedOn w:val="1"/>
    <w:next w:val="1"/>
    <w:qFormat/>
    <w:uiPriority w:val="0"/>
    <w:pPr>
      <w:keepNext/>
      <w:jc w:val="both"/>
      <w:textAlignment w:val="baseline"/>
    </w:pPr>
    <w:rPr>
      <w:rFonts w:ascii="Calibri Light" w:hAnsi="Calibri Light" w:eastAsia="宋体" w:cs="Times New Roman"/>
      <w:b/>
      <w:bCs/>
      <w:i/>
      <w:iCs/>
      <w:kern w:val="2"/>
      <w:sz w:val="28"/>
      <w:szCs w:val="28"/>
      <w:lang w:val="en-US" w:eastAsia="zh-CN" w:bidi="ar-SA"/>
    </w:rPr>
  </w:style>
  <w:style w:type="paragraph" w:customStyle="1" w:styleId="15">
    <w:name w:val="p16"/>
    <w:basedOn w:val="1"/>
    <w:qFormat/>
    <w:uiPriority w:val="0"/>
    <w:pPr>
      <w:widowControl/>
    </w:pPr>
    <w:rPr>
      <w:rFonts w:ascii="仿宋_GB2312" w:hAnsi="宋体" w:eastAsia="仿宋_GB2312" w:cs="宋体"/>
      <w:kern w:val="0"/>
      <w:sz w:val="32"/>
      <w:szCs w:val="32"/>
    </w:rPr>
  </w:style>
  <w:style w:type="character" w:customStyle="1" w:styleId="16">
    <w:name w:val="2加粗 Char"/>
    <w:link w:val="17"/>
    <w:qFormat/>
    <w:uiPriority w:val="0"/>
    <w:rPr>
      <w:rFonts w:hint="eastAsia" w:ascii="Times New Roman" w:hAnsi="Times New Roman" w:eastAsia="仿宋_GB2312"/>
      <w:b/>
      <w:sz w:val="32"/>
    </w:rPr>
  </w:style>
  <w:style w:type="paragraph" w:customStyle="1" w:styleId="17">
    <w:name w:val="2加粗"/>
    <w:basedOn w:val="1"/>
    <w:link w:val="16"/>
    <w:qFormat/>
    <w:uiPriority w:val="0"/>
    <w:pPr>
      <w:spacing w:line="578" w:lineRule="exact"/>
      <w:ind w:firstLine="420" w:firstLineChars="200"/>
    </w:pPr>
    <w:rPr>
      <w:rFonts w:hint="eastAsia" w:ascii="Times New Roman" w:hAnsi="Times New Roman" w:eastAsia="仿宋_GB2312"/>
      <w:b/>
      <w:sz w:val="32"/>
    </w:rPr>
  </w:style>
  <w:style w:type="paragraph" w:customStyle="1" w:styleId="18">
    <w:name w:val="海南化工城正文"/>
    <w:basedOn w:val="1"/>
    <w:qFormat/>
    <w:uiPriority w:val="0"/>
    <w:pPr>
      <w:spacing w:line="324" w:lineRule="auto"/>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吉阳区</Company>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2023-07-10T07:53:00Z</dcterms:created>
  <dc:creator>tgh</dc:creator>
  <cp:lastModifiedBy>尹华源</cp:lastModifiedBy>
  <cp:lastPrinted>2023-09-04T01:10:00Z</cp:lastPrinted>
  <dcterms:modified xsi:type="dcterms:W3CDTF">2024-09-17T01:29:12Z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D5B2B2B9B6F64217907734489A489656</vt:lpwstr>
  </property>
</Properties>
</file>