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sz w:val="84"/>
          <w:szCs w:val="84"/>
          <w:highlight w:val="none"/>
          <w:u w:val="single"/>
          <w:lang w:eastAsia="zh-CN"/>
        </w:rPr>
      </w:pPr>
    </w:p>
    <w:p>
      <w:pPr>
        <w:rPr>
          <w:color w:val="auto"/>
          <w:sz w:val="84"/>
          <w:szCs w:val="84"/>
          <w:highlight w:val="none"/>
          <w:u w:val="single"/>
        </w:rPr>
      </w:pPr>
    </w:p>
    <w:p>
      <w:pPr>
        <w:rPr>
          <w:color w:val="auto"/>
          <w:sz w:val="84"/>
          <w:szCs w:val="84"/>
          <w:highlight w:val="none"/>
          <w:u w:val="single"/>
        </w:rPr>
      </w:pPr>
    </w:p>
    <w:p>
      <w:pPr>
        <w:rPr>
          <w:color w:val="auto"/>
          <w:sz w:val="84"/>
          <w:szCs w:val="84"/>
          <w:highlight w:val="none"/>
          <w:u w:val="single"/>
        </w:rPr>
      </w:pPr>
    </w:p>
    <w:p>
      <w:pPr>
        <w:jc w:val="center"/>
        <w:rPr>
          <w:color w:val="auto"/>
          <w:sz w:val="52"/>
          <w:szCs w:val="52"/>
          <w:highlight w:val="none"/>
        </w:rPr>
      </w:pPr>
      <w:r>
        <w:rPr>
          <w:rFonts w:hint="eastAsia"/>
          <w:color w:val="auto"/>
          <w:sz w:val="52"/>
          <w:szCs w:val="52"/>
          <w:highlight w:val="none"/>
        </w:rPr>
        <w:t>202</w:t>
      </w:r>
      <w:r>
        <w:rPr>
          <w:rFonts w:hint="eastAsia"/>
          <w:color w:val="auto"/>
          <w:sz w:val="52"/>
          <w:szCs w:val="52"/>
          <w:highlight w:val="none"/>
          <w:lang w:val="en-US" w:eastAsia="zh-CN"/>
        </w:rPr>
        <w:t>4</w:t>
      </w:r>
      <w:r>
        <w:rPr>
          <w:rFonts w:hint="eastAsia"/>
          <w:color w:val="auto"/>
          <w:sz w:val="52"/>
          <w:szCs w:val="52"/>
          <w:highlight w:val="none"/>
        </w:rPr>
        <w:t>年三亚市天涯区退役军人事务局</w:t>
      </w:r>
      <w:r>
        <w:rPr>
          <w:rFonts w:hint="eastAsia"/>
          <w:color w:val="auto"/>
          <w:sz w:val="52"/>
          <w:szCs w:val="52"/>
          <w:highlight w:val="none"/>
          <w:lang w:eastAsia="zh-CN"/>
        </w:rPr>
        <w:t>单位</w:t>
      </w:r>
      <w:r>
        <w:rPr>
          <w:rFonts w:hint="eastAsia"/>
          <w:color w:val="auto"/>
          <w:sz w:val="52"/>
          <w:szCs w:val="52"/>
          <w:highlight w:val="none"/>
        </w:rPr>
        <w:t>预算</w:t>
      </w: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rPr>
          <w:color w:val="auto"/>
          <w:sz w:val="52"/>
          <w:szCs w:val="52"/>
          <w:highlight w:val="none"/>
        </w:rPr>
      </w:pPr>
    </w:p>
    <w:p>
      <w:pPr>
        <w:rPr>
          <w:color w:val="auto"/>
          <w:sz w:val="52"/>
          <w:szCs w:val="52"/>
          <w:highlight w:val="none"/>
        </w:rPr>
      </w:pPr>
    </w:p>
    <w:p>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概况</w:t>
      </w:r>
    </w:p>
    <w:p>
      <w:pPr>
        <w:pStyle w:val="7"/>
        <w:numPr>
          <w:ilvl w:val="0"/>
          <w:numId w:val="2"/>
        </w:numPr>
        <w:ind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主要职能</w:t>
      </w:r>
    </w:p>
    <w:p>
      <w:pPr>
        <w:pStyle w:val="7"/>
        <w:numPr>
          <w:ilvl w:val="0"/>
          <w:numId w:val="2"/>
        </w:numPr>
        <w:ind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机构设置</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4</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收支总表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收入总表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支出总表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预算情况说明</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名词解释</w:t>
      </w:r>
    </w:p>
    <w:p>
      <w:pPr>
        <w:pStyle w:val="7"/>
        <w:ind w:left="1320" w:firstLine="0" w:firstLineChars="0"/>
        <w:jc w:val="left"/>
        <w:rPr>
          <w:rFonts w:ascii="黑体" w:hAnsi="黑体" w:eastAsia="黑体"/>
          <w:color w:val="auto"/>
          <w:sz w:val="32"/>
          <w:szCs w:val="32"/>
          <w:highlight w:val="none"/>
        </w:rPr>
      </w:pPr>
    </w:p>
    <w:p>
      <w:pPr>
        <w:pStyle w:val="7"/>
        <w:ind w:left="1320" w:firstLine="0" w:firstLineChars="0"/>
        <w:jc w:val="left"/>
        <w:rPr>
          <w:rFonts w:ascii="黑体" w:hAnsi="黑体" w:eastAsia="黑体"/>
          <w:color w:val="auto"/>
          <w:sz w:val="32"/>
          <w:szCs w:val="32"/>
          <w:highlight w:val="none"/>
        </w:rPr>
      </w:pPr>
    </w:p>
    <w:p>
      <w:pPr>
        <w:pStyle w:val="7"/>
        <w:ind w:firstLine="0" w:firstLineChars="0"/>
        <w:jc w:val="left"/>
        <w:rPr>
          <w:rFonts w:ascii="黑体" w:hAnsi="黑体" w:eastAsia="黑体"/>
          <w:color w:val="auto"/>
          <w:sz w:val="32"/>
          <w:szCs w:val="32"/>
          <w:highlight w:val="none"/>
        </w:rPr>
      </w:pPr>
    </w:p>
    <w:p>
      <w:pPr>
        <w:pStyle w:val="7"/>
        <w:numPr>
          <w:ilvl w:val="0"/>
          <w:numId w:val="4"/>
        </w:numPr>
        <w:ind w:firstLineChars="0"/>
        <w:jc w:val="center"/>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概况</w:t>
      </w:r>
    </w:p>
    <w:p>
      <w:pPr>
        <w:jc w:val="left"/>
        <w:rPr>
          <w:rFonts w:ascii="仿宋_GB2312" w:hAnsi="仿宋_GB2312" w:eastAsia="仿宋_GB2312" w:cs="仿宋_GB2312"/>
          <w:color w:val="auto"/>
          <w:sz w:val="32"/>
          <w:szCs w:val="32"/>
          <w:highlight w:val="none"/>
        </w:rPr>
      </w:pPr>
    </w:p>
    <w:p>
      <w:pPr>
        <w:pStyle w:val="7"/>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主要职能</w:t>
      </w:r>
    </w:p>
    <w:p>
      <w:pPr>
        <w:pStyle w:val="7"/>
        <w:numPr>
          <w:ilvl w:val="0"/>
          <w:numId w:val="0"/>
        </w:numPr>
        <w:ind w:leftChars="0" w:firstLine="640" w:firstLineChars="200"/>
        <w:jc w:val="left"/>
        <w:rPr>
          <w:rFonts w:ascii="黑体" w:hAnsi="黑体" w:eastAsia="黑体"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我部门主要职责根据三定方案设立，该方案正处于保密期内，主要职责不予公开。</w:t>
      </w:r>
    </w:p>
    <w:p>
      <w:pPr>
        <w:numPr>
          <w:ilvl w:val="0"/>
          <w:numId w:val="5"/>
        </w:numPr>
        <w:ind w:left="720" w:leftChars="0" w:hanging="7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机构设置</w:t>
      </w:r>
    </w:p>
    <w:p>
      <w:p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我部门主要职责根据三定方案设立，该方案正处于保密期内，内设机构不予公开。</w:t>
      </w:r>
    </w:p>
    <w:p>
      <w:pPr>
        <w:ind w:firstLine="640" w:firstLineChars="200"/>
        <w:jc w:val="both"/>
        <w:rPr>
          <w:rFonts w:hint="eastAsia" w:ascii="仿宋_GB2312" w:hAnsi="仿宋_GB2312" w:eastAsia="仿宋_GB2312" w:cs="仿宋_GB2312"/>
          <w:color w:val="auto"/>
          <w:sz w:val="32"/>
          <w:szCs w:val="32"/>
          <w:highlight w:val="none"/>
          <w:lang w:val="en-US" w:eastAsia="zh-CN"/>
        </w:rPr>
      </w:pPr>
    </w:p>
    <w:p>
      <w:pPr>
        <w:ind w:firstLine="640" w:firstLineChars="200"/>
        <w:jc w:val="both"/>
        <w:rPr>
          <w:rFonts w:ascii="黑体" w:hAnsi="黑体" w:eastAsia="黑体"/>
          <w:color w:val="auto"/>
          <w:sz w:val="32"/>
          <w:szCs w:val="32"/>
          <w:highlight w:val="none"/>
        </w:rPr>
      </w:pPr>
      <w:r>
        <w:rPr>
          <w:rFonts w:hint="eastAsia" w:ascii="黑体" w:hAnsi="黑体" w:eastAsia="黑体"/>
          <w:color w:val="auto"/>
          <w:sz w:val="32"/>
          <w:szCs w:val="32"/>
          <w:highlight w:val="none"/>
        </w:rPr>
        <w:t>第二部分</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 三亚市天涯区退役军人事务局</w:t>
      </w:r>
    </w:p>
    <w:p>
      <w:pPr>
        <w:ind w:left="800" w:firstLine="1280" w:firstLineChars="400"/>
        <w:jc w:val="both"/>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ascii="黑体" w:hAnsi="黑体" w:eastAsia="黑体" w:cs="黑体"/>
          <w:color w:val="auto"/>
          <w:sz w:val="32"/>
          <w:szCs w:val="32"/>
          <w:highlight w:val="none"/>
          <w:lang w:eastAsia="zh-CN"/>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lang w:eastAsia="zh-CN"/>
        </w:rPr>
        <w:t>年单位</w:t>
      </w:r>
      <w:r>
        <w:rPr>
          <w:rFonts w:hint="eastAsia" w:ascii="黑体" w:hAnsi="黑体" w:eastAsia="黑体" w:cs="黑体"/>
          <w:color w:val="auto"/>
          <w:sz w:val="32"/>
          <w:szCs w:val="32"/>
          <w:highlight w:val="none"/>
        </w:rPr>
        <w:t>预算表</w:t>
      </w:r>
    </w:p>
    <w:p>
      <w:pPr>
        <w:ind w:left="800"/>
        <w:jc w:val="left"/>
        <w:rPr>
          <w:rFonts w:ascii="黑体" w:hAnsi="黑体" w:eastAsia="黑体"/>
          <w:color w:val="auto"/>
          <w:sz w:val="32"/>
          <w:szCs w:val="32"/>
          <w:highlight w:val="none"/>
        </w:rPr>
      </w:pPr>
    </w:p>
    <w:p>
      <w:pPr>
        <w:ind w:left="800"/>
        <w:jc w:val="center"/>
        <w:rPr>
          <w:rFonts w:hint="eastAsia"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（此部分内容即为</w:t>
      </w:r>
      <w:r>
        <w:rPr>
          <w:rFonts w:hint="eastAsia" w:ascii="仿宋_GB2312" w:hAnsi="黑体" w:eastAsia="仿宋_GB2312"/>
          <w:b/>
          <w:color w:val="auto"/>
          <w:sz w:val="32"/>
          <w:szCs w:val="32"/>
          <w:highlight w:val="none"/>
          <w:lang w:eastAsia="zh-CN"/>
        </w:rPr>
        <w:t>单位</w:t>
      </w:r>
      <w:r>
        <w:rPr>
          <w:rFonts w:hint="eastAsia" w:ascii="仿宋_GB2312" w:hAnsi="黑体" w:eastAsia="仿宋_GB2312"/>
          <w:b/>
          <w:color w:val="auto"/>
          <w:sz w:val="32"/>
          <w:szCs w:val="32"/>
          <w:highlight w:val="none"/>
        </w:rPr>
        <w:t>预算公开表）</w:t>
      </w:r>
    </w:p>
    <w:p>
      <w:pPr>
        <w:pStyle w:val="2"/>
      </w:pPr>
    </w:p>
    <w:p/>
    <w:p>
      <w:pPr>
        <w:pStyle w:val="2"/>
      </w:pPr>
    </w:p>
    <w:p/>
    <w:p>
      <w:pPr>
        <w:pStyle w:val="2"/>
      </w:pPr>
    </w:p>
    <w:p>
      <w:pPr>
        <w:rPr>
          <w:rFonts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第三部分   三亚市天涯区退役军人事务局</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eastAsia="zh-CN"/>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lang w:eastAsia="zh-CN"/>
        </w:rPr>
        <w:t>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预算情况说明</w:t>
      </w:r>
    </w:p>
    <w:p>
      <w:pPr>
        <w:jc w:val="center"/>
        <w:rPr>
          <w:rFonts w:ascii="黑体" w:hAnsi="黑体" w:eastAsia="黑体"/>
          <w:color w:val="auto"/>
          <w:sz w:val="32"/>
          <w:szCs w:val="32"/>
          <w:highlight w:val="none"/>
        </w:rPr>
      </w:pPr>
    </w:p>
    <w:p>
      <w:pPr>
        <w:ind w:firstLine="640" w:firstLineChars="200"/>
        <w:jc w:val="left"/>
        <w:rPr>
          <w:rFonts w:hint="eastAsia" w:ascii="黑体" w:hAnsi="黑体" w:eastAsia="黑体" w:cs="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s="黑体"/>
          <w:color w:val="auto"/>
          <w:sz w:val="32"/>
          <w:szCs w:val="32"/>
          <w:highlight w:val="none"/>
        </w:rPr>
        <w:t>关于三亚市天涯区退役军人事务局</w:t>
      </w:r>
      <w:r>
        <w:rPr>
          <w:rFonts w:hint="eastAsia" w:ascii="黑体" w:hAnsi="黑体" w:eastAsia="黑体" w:cs="黑体"/>
          <w:color w:val="auto"/>
          <w:sz w:val="32"/>
          <w:szCs w:val="32"/>
          <w:highlight w:val="none"/>
          <w:lang w:eastAsia="zh-CN"/>
        </w:rPr>
        <w:t>单位202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lang w:eastAsia="zh-CN"/>
        </w:rPr>
        <w:t>年</w:t>
      </w:r>
      <w:r>
        <w:rPr>
          <w:rFonts w:hint="eastAsia" w:ascii="黑体" w:hAnsi="黑体" w:eastAsia="黑体" w:cs="黑体"/>
          <w:color w:val="auto"/>
          <w:sz w:val="32"/>
          <w:szCs w:val="32"/>
          <w:highlight w:val="none"/>
        </w:rPr>
        <w:t>财政拨款收支预算情况的总体说明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财政拨款收支总预算</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万元。其中，收入总计</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万元，包括一般公共预算</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2310.59</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67.06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政府性基金预算本年收入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0.33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支出总计</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万元，包括</w:t>
      </w:r>
      <w:r>
        <w:rPr>
          <w:rFonts w:hint="eastAsia" w:ascii="仿宋_GB2312" w:hAnsi="仿宋_GB2312" w:eastAsia="仿宋_GB2312" w:cs="仿宋_GB2312"/>
          <w:color w:val="auto"/>
          <w:sz w:val="32"/>
          <w:szCs w:val="32"/>
          <w:highlight w:val="none"/>
          <w:lang w:eastAsia="zh-CN"/>
        </w:rPr>
        <w:t>一般公共服务支出</w:t>
      </w:r>
      <w:r>
        <w:rPr>
          <w:rFonts w:hint="eastAsia" w:ascii="仿宋_GB2312" w:hAnsi="仿宋_GB2312" w:eastAsia="仿宋_GB2312" w:cs="仿宋_GB2312"/>
          <w:color w:val="auto"/>
          <w:sz w:val="32"/>
          <w:szCs w:val="32"/>
          <w:highlight w:val="none"/>
          <w:lang w:val="en-US" w:eastAsia="zh-CN"/>
        </w:rPr>
        <w:t>0.02万元，</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2329.78</w:t>
      </w:r>
      <w:r>
        <w:rPr>
          <w:rFonts w:hint="eastAsia" w:ascii="仿宋_GB2312" w:hAnsi="仿宋_GB2312" w:eastAsia="仿宋_GB2312" w:cs="仿宋_GB2312"/>
          <w:color w:val="auto"/>
          <w:sz w:val="32"/>
          <w:szCs w:val="32"/>
          <w:highlight w:val="none"/>
        </w:rPr>
        <w:t>万元、卫生健康支出</w:t>
      </w:r>
      <w:r>
        <w:rPr>
          <w:rFonts w:hint="eastAsia" w:ascii="仿宋_GB2312" w:hAnsi="仿宋_GB2312" w:eastAsia="仿宋_GB2312" w:cs="仿宋_GB2312"/>
          <w:color w:val="auto"/>
          <w:sz w:val="32"/>
          <w:szCs w:val="32"/>
          <w:highlight w:val="none"/>
          <w:lang w:val="en-US" w:eastAsia="zh-CN"/>
        </w:rPr>
        <w:t>27.25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lang w:val="en-US" w:eastAsia="zh-CN"/>
        </w:rPr>
        <w:t>0.33万元、</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万元，结转下年0万元。</w:t>
      </w:r>
    </w:p>
    <w:p>
      <w:pPr>
        <w:ind w:firstLine="64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二、关于三亚市天涯区退役军人事务局</w:t>
      </w:r>
      <w:r>
        <w:rPr>
          <w:rFonts w:hint="eastAsia" w:ascii="Times New Roman" w:hAnsi="Times New Roman" w:eastAsia="黑体" w:cs="Times New Roman"/>
          <w:color w:val="auto"/>
          <w:sz w:val="32"/>
          <w:szCs w:val="32"/>
          <w:highlight w:val="none"/>
          <w:lang w:eastAsia="zh-CN"/>
        </w:rPr>
        <w:t>单位</w:t>
      </w:r>
      <w:r>
        <w:rPr>
          <w:rFonts w:hint="eastAsia" w:ascii="黑体" w:hAnsi="黑体" w:eastAsia="黑体" w:cs="黑体"/>
          <w:color w:val="auto"/>
          <w:sz w:val="32"/>
          <w:szCs w:val="32"/>
          <w:highlight w:val="none"/>
          <w:lang w:eastAsia="zh-CN"/>
        </w:rPr>
        <w:t>2024年</w:t>
      </w:r>
      <w:r>
        <w:rPr>
          <w:rFonts w:hint="default" w:ascii="Times New Roman" w:hAnsi="Times New Roman" w:eastAsia="黑体" w:cs="Times New Roman"/>
          <w:color w:val="auto"/>
          <w:sz w:val="32"/>
          <w:szCs w:val="32"/>
          <w:highlight w:val="none"/>
        </w:rPr>
        <w:t>一般公共预算当年拨款情况说明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（一）一般公共预算当年规模变化情况</w:t>
      </w:r>
    </w:p>
    <w:p>
      <w:pPr>
        <w:ind w:firstLine="640" w:firstLineChars="200"/>
        <w:rPr>
          <w:rFonts w:hint="eastAsia"/>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一般公共预算当年拨款</w:t>
      </w:r>
      <w:r>
        <w:rPr>
          <w:rFonts w:hint="eastAsia" w:ascii="仿宋_GB2312" w:hAnsi="仿宋_GB2312" w:eastAsia="仿宋_GB2312" w:cs="仿宋_GB2312"/>
          <w:color w:val="auto"/>
          <w:sz w:val="32"/>
          <w:szCs w:val="32"/>
          <w:highlight w:val="none"/>
          <w:lang w:val="en-US" w:eastAsia="zh-CN"/>
        </w:rPr>
        <w:t>2377.65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170.57万元，主要是社会保障和就业支出、卫生健康支出、住房保障支出增加。</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（二）一般公共预算当年拨款结构情况</w:t>
      </w:r>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一般公共服务支出（类）支出</w:t>
      </w:r>
      <w:r>
        <w:rPr>
          <w:rFonts w:hint="eastAsia" w:ascii="仿宋_GB2312" w:hAnsi="仿宋_GB2312" w:eastAsia="仿宋_GB2312" w:cs="仿宋_GB2312"/>
          <w:color w:val="auto"/>
          <w:sz w:val="32"/>
          <w:szCs w:val="32"/>
          <w:highlight w:val="none"/>
          <w:lang w:val="en-US" w:eastAsia="zh-CN"/>
        </w:rPr>
        <w:t>0.02万元，占0.0%；</w:t>
      </w:r>
      <w:r>
        <w:rPr>
          <w:rFonts w:hint="eastAsia" w:ascii="仿宋_GB2312" w:hAnsi="仿宋_GB2312" w:eastAsia="仿宋_GB2312" w:cs="仿宋_GB2312"/>
          <w:color w:val="auto"/>
          <w:sz w:val="32"/>
          <w:szCs w:val="32"/>
          <w:highlight w:val="none"/>
        </w:rPr>
        <w:t>社会保障和就业（类）支出</w:t>
      </w:r>
      <w:r>
        <w:rPr>
          <w:rFonts w:hint="eastAsia" w:ascii="仿宋_GB2312" w:hAnsi="仿宋_GB2312" w:eastAsia="仿宋_GB2312" w:cs="仿宋_GB2312"/>
          <w:color w:val="auto"/>
          <w:sz w:val="32"/>
          <w:szCs w:val="32"/>
          <w:highlight w:val="none"/>
          <w:lang w:val="en-US" w:eastAsia="zh-CN"/>
        </w:rPr>
        <w:t>2329.78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97.98</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27.25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1.15</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0.87</w:t>
      </w:r>
      <w:r>
        <w:rPr>
          <w:rFonts w:hint="eastAsia" w:ascii="仿宋_GB2312" w:hAnsi="仿宋_GB2312" w:eastAsia="仿宋_GB2312" w:cs="仿宋_GB2312"/>
          <w:color w:val="auto"/>
          <w:sz w:val="32"/>
          <w:szCs w:val="32"/>
          <w:highlight w:val="none"/>
        </w:rPr>
        <w:t>%。</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（三）一般公共预算当年拨款具体使用情况</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一般公共服务支出（类）发展与改革事务（款）物价管理（项）</w:t>
      </w:r>
      <w:r>
        <w:rPr>
          <w:rFonts w:hint="eastAsia" w:ascii="仿宋_GB2312" w:hAnsi="仿宋_GB2312" w:eastAsia="仿宋_GB2312" w:cs="仿宋_GB2312"/>
          <w:color w:val="auto"/>
          <w:sz w:val="32"/>
          <w:szCs w:val="32"/>
          <w:highlight w:val="none"/>
          <w:lang w:val="en-US" w:eastAsia="zh-CN"/>
        </w:rPr>
        <w:t>2024年预算数为0.02万元，比上年预算数增加0.02万元，主要原因去年无此项。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22.87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5.67万元，主要是增加一名在编人员，基本养老保险增加。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社会保障和就业支出（类）行政事业单位养老支出（款）机关事业单位</w:t>
      </w:r>
      <w:r>
        <w:rPr>
          <w:rFonts w:hint="eastAsia" w:ascii="仿宋_GB2312" w:hAnsi="仿宋_GB2312" w:eastAsia="仿宋_GB2312" w:cs="仿宋_GB2312"/>
          <w:color w:val="auto"/>
          <w:sz w:val="32"/>
          <w:szCs w:val="32"/>
          <w:highlight w:val="none"/>
          <w:lang w:eastAsia="zh-CN"/>
        </w:rPr>
        <w:t>职业年金缴费支出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59.35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59.35万元，主要是去年无此项支出。</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抚恤（款）义务兵优待（项）</w:t>
      </w:r>
      <w:r>
        <w:rPr>
          <w:rFonts w:hint="eastAsia" w:ascii="仿宋_GB2312" w:hAnsi="仿宋_GB2312" w:eastAsia="仿宋_GB2312" w:cs="仿宋_GB2312"/>
          <w:color w:val="auto"/>
          <w:sz w:val="32"/>
          <w:szCs w:val="32"/>
          <w:highlight w:val="none"/>
          <w:lang w:val="en-US" w:eastAsia="zh-CN"/>
        </w:rPr>
        <w:t>2024年预算数为584.34万元，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229.34万元，主要是义务兵家庭优待增加。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lang w:val="en-US" w:eastAsia="zh-CN"/>
        </w:rPr>
        <w:t xml:space="preserve"> </w:t>
      </w:r>
      <w:r>
        <w:rPr>
          <w:rFonts w:hint="eastAsia" w:ascii="仿宋_GB2312" w:hAnsi="仿宋_GB2312" w:eastAsia="仿宋_GB2312" w:cs="仿宋_GB2312"/>
          <w:b w:val="0"/>
          <w:bCs w:val="0"/>
          <w:color w:val="auto"/>
          <w:sz w:val="32"/>
          <w:szCs w:val="32"/>
          <w:highlight w:val="none"/>
        </w:rPr>
        <w:t>社会保障和就业支出（类）</w:t>
      </w:r>
      <w:r>
        <w:rPr>
          <w:rFonts w:hint="eastAsia" w:ascii="仿宋_GB2312" w:hAnsi="仿宋_GB2312" w:eastAsia="仿宋_GB2312" w:cs="仿宋_GB2312"/>
          <w:b w:val="0"/>
          <w:bCs w:val="0"/>
          <w:color w:val="auto"/>
          <w:sz w:val="32"/>
          <w:szCs w:val="32"/>
          <w:highlight w:val="none"/>
          <w:lang w:eastAsia="zh-CN"/>
        </w:rPr>
        <w:t>抚恤（款）褒扬纪念（项）</w:t>
      </w:r>
      <w:r>
        <w:rPr>
          <w:rFonts w:hint="eastAsia" w:ascii="仿宋_GB2312" w:hAnsi="仿宋_GB2312" w:eastAsia="仿宋_GB2312" w:cs="仿宋_GB2312"/>
          <w:b w:val="0"/>
          <w:bCs w:val="0"/>
          <w:color w:val="auto"/>
          <w:sz w:val="32"/>
          <w:szCs w:val="32"/>
          <w:highlight w:val="none"/>
          <w:lang w:val="en-US" w:eastAsia="zh-CN"/>
        </w:rPr>
        <w:t>2024年预算数为2万元，</w:t>
      </w:r>
      <w:r>
        <w:rPr>
          <w:rFonts w:hint="eastAsia" w:ascii="仿宋_GB2312" w:hAnsi="仿宋_GB2312" w:eastAsia="仿宋_GB2312" w:cs="仿宋_GB2312"/>
          <w:b w:val="0"/>
          <w:bCs w:val="0"/>
          <w:color w:val="auto"/>
          <w:sz w:val="32"/>
          <w:szCs w:val="32"/>
          <w:highlight w:val="none"/>
          <w:lang w:eastAsia="zh-CN"/>
        </w:rPr>
        <w:t>比上年预算数增加</w:t>
      </w:r>
      <w:r>
        <w:rPr>
          <w:rFonts w:hint="eastAsia" w:ascii="仿宋_GB2312" w:hAnsi="仿宋_GB2312" w:eastAsia="仿宋_GB2312" w:cs="仿宋_GB2312"/>
          <w:b w:val="0"/>
          <w:bCs w:val="0"/>
          <w:color w:val="auto"/>
          <w:sz w:val="32"/>
          <w:szCs w:val="32"/>
          <w:highlight w:val="none"/>
          <w:lang w:val="en-US" w:eastAsia="zh-CN"/>
        </w:rPr>
        <w:t>2万元，主要是</w:t>
      </w:r>
      <w:r>
        <w:rPr>
          <w:rFonts w:hint="eastAsia" w:ascii="仿宋_GB2312" w:hAnsi="仿宋_GB2312" w:eastAsia="仿宋_GB2312" w:cs="仿宋_GB2312"/>
          <w:color w:val="auto"/>
          <w:sz w:val="32"/>
          <w:szCs w:val="32"/>
          <w:highlight w:val="none"/>
          <w:lang w:val="en-US" w:eastAsia="zh-CN"/>
        </w:rPr>
        <w:t>去年无此项支出。</w:t>
      </w:r>
    </w:p>
    <w:p>
      <w:pPr>
        <w:ind w:firstLine="420" w:firstLineChars="200"/>
        <w:rPr>
          <w:rFonts w:hint="eastAsia"/>
          <w:b w:val="0"/>
          <w:bCs w:val="0"/>
          <w:lang w:val="en-US" w:eastAsia="zh-CN"/>
        </w:rPr>
      </w:pPr>
    </w:p>
    <w:p>
      <w:pPr>
        <w:rPr>
          <w:rFonts w:hint="eastAsia"/>
          <w:lang w:val="en-US" w:eastAsia="zh-CN"/>
        </w:rPr>
      </w:pPr>
    </w:p>
    <w:p>
      <w:pPr>
        <w:pStyle w:val="2"/>
        <w:rPr>
          <w:rFonts w:hint="default"/>
          <w:lang w:val="en-US" w:eastAsia="zh-CN"/>
        </w:rPr>
      </w:pP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抚恤（款）其他优抚支出（项）</w:t>
      </w:r>
      <w:r>
        <w:rPr>
          <w:rFonts w:hint="eastAsia" w:ascii="仿宋_GB2312" w:hAnsi="仿宋_GB2312" w:eastAsia="仿宋_GB2312" w:cs="仿宋_GB2312"/>
          <w:color w:val="auto"/>
          <w:sz w:val="32"/>
          <w:szCs w:val="32"/>
          <w:highlight w:val="none"/>
          <w:lang w:val="en-US" w:eastAsia="zh-CN"/>
        </w:rPr>
        <w:t>2024年预算数为459.21万元，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179.21万元，主要是项目支出增加。</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退役安置（款）退役士兵安置（项）</w:t>
      </w:r>
      <w:r>
        <w:rPr>
          <w:rFonts w:hint="eastAsia" w:ascii="仿宋_GB2312" w:hAnsi="仿宋_GB2312" w:eastAsia="仿宋_GB2312" w:cs="仿宋_GB2312"/>
          <w:color w:val="auto"/>
          <w:sz w:val="32"/>
          <w:szCs w:val="32"/>
          <w:highlight w:val="none"/>
          <w:lang w:val="en-US" w:eastAsia="zh-CN"/>
        </w:rPr>
        <w:t>2024年预算数为80万元，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406.01万元，</w:t>
      </w:r>
      <w:r>
        <w:rPr>
          <w:rFonts w:hint="eastAsia" w:ascii="仿宋_GB2312" w:hAnsi="仿宋_GB2312" w:eastAsia="仿宋_GB2312" w:cs="仿宋_GB2312"/>
          <w:color w:val="auto"/>
          <w:sz w:val="32"/>
          <w:szCs w:val="32"/>
          <w:highlight w:val="none"/>
          <w:lang w:eastAsia="zh-CN"/>
        </w:rPr>
        <w:t>主要是退役士兵安置支出减少</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.社会保障和就业支出（类）退役军人管理事务（款）行政运行（项）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175.14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5.9万元，主要是日常行政运行支出增加。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.社</w:t>
      </w:r>
      <w:r>
        <w:rPr>
          <w:rFonts w:hint="eastAsia" w:ascii="仿宋_GB2312" w:hAnsi="仿宋_GB2312" w:eastAsia="仿宋_GB2312" w:cs="仿宋_GB2312"/>
          <w:color w:val="auto"/>
          <w:sz w:val="32"/>
          <w:szCs w:val="32"/>
          <w:highlight w:val="none"/>
        </w:rPr>
        <w:t>会保障和就业支出（类）退役军人管理事务（款）一般行政管理事务（项）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120.41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4.45万元，主要是行政管理支出增加。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.社会保障和就业支出（类）退役军人管理事务（款）拥军优属（项）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429.45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219.08万元，主要是拥军优属对象减少。</w:t>
      </w:r>
    </w:p>
    <w:p>
      <w:pPr>
        <w:ind w:firstLine="640" w:firstLineChars="200"/>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.社会保障和就业支出（类）退役军人管理事务（款）其他退役军人事务管理支出（项）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397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296.01万元，主要是工作项目调整。</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.卫生健康支出（类）行政事业单位医疗（款）行政单位医疗（项）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10.13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2.52万元，主要是在编人员单位医疗保险增加。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.卫生健康支出（类）行政事业单位医疗（款）公务员医疗补助（项）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15.64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4.18万元，主要是在编人员</w:t>
      </w:r>
      <w:r>
        <w:rPr>
          <w:rFonts w:hint="eastAsia" w:ascii="仿宋_GB2312" w:hAnsi="仿宋_GB2312" w:eastAsia="仿宋_GB2312" w:cs="仿宋_GB2312"/>
          <w:color w:val="auto"/>
          <w:sz w:val="32"/>
          <w:szCs w:val="32"/>
          <w:highlight w:val="none"/>
        </w:rPr>
        <w:t>公务员医疗补助</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.卫生健康支出（类）</w:t>
      </w:r>
      <w:r>
        <w:rPr>
          <w:rFonts w:hint="eastAsia" w:ascii="仿宋_GB2312" w:hAnsi="仿宋_GB2312" w:eastAsia="仿宋_GB2312" w:cs="仿宋_GB2312"/>
          <w:color w:val="auto"/>
          <w:sz w:val="32"/>
          <w:szCs w:val="32"/>
          <w:highlight w:val="none"/>
          <w:lang w:eastAsia="zh-CN"/>
        </w:rPr>
        <w:t>优抚对象医疗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优抚对象医疗补助</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1.49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1.49万元，</w:t>
      </w:r>
      <w:r>
        <w:rPr>
          <w:rFonts w:hint="eastAsia" w:ascii="仿宋_GB2312" w:hAnsi="仿宋_GB2312" w:eastAsia="仿宋_GB2312" w:cs="仿宋_GB2312"/>
          <w:b w:val="0"/>
          <w:bCs w:val="0"/>
          <w:color w:val="auto"/>
          <w:sz w:val="32"/>
          <w:szCs w:val="32"/>
          <w:highlight w:val="none"/>
          <w:lang w:val="en-US" w:eastAsia="zh-CN"/>
        </w:rPr>
        <w:t>主要是</w:t>
      </w:r>
      <w:r>
        <w:rPr>
          <w:rFonts w:hint="eastAsia" w:ascii="仿宋_GB2312" w:hAnsi="仿宋_GB2312" w:eastAsia="仿宋_GB2312" w:cs="仿宋_GB2312"/>
          <w:color w:val="auto"/>
          <w:sz w:val="32"/>
          <w:szCs w:val="32"/>
          <w:highlight w:val="none"/>
          <w:lang w:val="en-US" w:eastAsia="zh-CN"/>
        </w:rPr>
        <w:t>去年无此项支出。</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.住房保障支出（类）住房改革支出（款）住房公积金（项）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5.51万元，主要是在编人员</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三、关于三亚市天涯区退役军人事务局</w:t>
      </w:r>
      <w:r>
        <w:rPr>
          <w:rFonts w:hint="eastAsia" w:ascii="Times New Roman" w:hAnsi="Times New Roman" w:eastAsia="黑体" w:cs="Times New Roman"/>
          <w:color w:val="auto"/>
          <w:sz w:val="32"/>
          <w:szCs w:val="32"/>
          <w:highlight w:val="none"/>
          <w:lang w:eastAsia="zh-CN"/>
        </w:rPr>
        <w:t>单位</w:t>
      </w:r>
      <w:r>
        <w:rPr>
          <w:rFonts w:hint="eastAsia" w:ascii="黑体" w:hAnsi="黑体" w:eastAsia="黑体" w:cs="黑体"/>
          <w:color w:val="auto"/>
          <w:sz w:val="32"/>
          <w:szCs w:val="32"/>
          <w:highlight w:val="none"/>
          <w:lang w:eastAsia="zh-CN"/>
        </w:rPr>
        <w:t>2024年</w:t>
      </w:r>
      <w:r>
        <w:rPr>
          <w:rFonts w:hint="eastAsia" w:ascii="黑体" w:hAnsi="黑体" w:eastAsia="黑体" w:cs="黑体"/>
          <w:color w:val="auto"/>
          <w:sz w:val="32"/>
          <w:szCs w:val="32"/>
          <w:highlight w:val="none"/>
        </w:rPr>
        <w:t>一般公共预算基本支出情况说明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一般公共预算基本支出为</w:t>
      </w:r>
      <w:r>
        <w:rPr>
          <w:rFonts w:hint="eastAsia" w:ascii="仿宋_GB2312" w:hAnsi="仿宋_GB2312" w:eastAsia="仿宋_GB2312" w:cs="仿宋_GB2312"/>
          <w:color w:val="auto"/>
          <w:sz w:val="32"/>
          <w:szCs w:val="32"/>
          <w:highlight w:val="none"/>
          <w:lang w:val="en-US" w:eastAsia="zh-CN"/>
        </w:rPr>
        <w:t>303.73</w:t>
      </w:r>
      <w:r>
        <w:rPr>
          <w:rFonts w:hint="eastAsia" w:ascii="仿宋_GB2312" w:hAnsi="仿宋_GB2312" w:eastAsia="仿宋_GB2312" w:cs="仿宋_GB2312"/>
          <w:color w:val="auto"/>
          <w:sz w:val="32"/>
          <w:szCs w:val="32"/>
          <w:highlight w:val="none"/>
        </w:rPr>
        <w:t>万元，其中：</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297.24</w:t>
      </w:r>
      <w:r>
        <w:rPr>
          <w:rFonts w:hint="eastAsia" w:ascii="仿宋_GB2312" w:hAnsi="仿宋_GB2312" w:eastAsia="仿宋_GB2312" w:cs="仿宋_GB2312"/>
          <w:color w:val="auto"/>
          <w:sz w:val="32"/>
          <w:szCs w:val="32"/>
          <w:highlight w:val="none"/>
        </w:rPr>
        <w:t>万元，主要包括：基本工资、津贴补贴、奖金、</w:t>
      </w:r>
      <w:r>
        <w:rPr>
          <w:rFonts w:hint="eastAsia" w:ascii="仿宋_GB2312" w:hAnsi="仿宋_GB2312" w:eastAsia="仿宋_GB2312" w:cs="仿宋_GB2312"/>
          <w:color w:val="auto"/>
          <w:sz w:val="32"/>
          <w:szCs w:val="32"/>
          <w:highlight w:val="none"/>
          <w:lang w:eastAsia="zh-CN"/>
        </w:rPr>
        <w:t>绩效工资、</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eastAsia="zh-CN"/>
        </w:rPr>
        <w:t>职业年金、职工基本医疗保险缴费、公务员医疗补助缴费、其他社会保障缴费、住房公积金、医疗费、</w:t>
      </w:r>
      <w:r>
        <w:rPr>
          <w:rFonts w:hint="eastAsia" w:ascii="仿宋_GB2312" w:hAnsi="仿宋_GB2312" w:eastAsia="仿宋_GB2312" w:cs="仿宋_GB2312"/>
          <w:color w:val="auto"/>
          <w:sz w:val="32"/>
          <w:szCs w:val="32"/>
          <w:highlight w:val="none"/>
          <w:lang w:val="en-US" w:eastAsia="zh-CN"/>
        </w:rPr>
        <w:t>邮电费、其他交通费用、奖励金</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6.49</w:t>
      </w:r>
      <w:r>
        <w:rPr>
          <w:rFonts w:hint="eastAsia" w:ascii="仿宋_GB2312" w:hAnsi="仿宋_GB2312" w:eastAsia="仿宋_GB2312" w:cs="仿宋_GB2312"/>
          <w:color w:val="auto"/>
          <w:sz w:val="32"/>
          <w:szCs w:val="32"/>
          <w:highlight w:val="none"/>
        </w:rPr>
        <w:t>万元，主要包括：</w:t>
      </w:r>
      <w:r>
        <w:rPr>
          <w:rFonts w:hint="eastAsia" w:ascii="仿宋_GB2312" w:hAnsi="仿宋_GB2312" w:eastAsia="仿宋_GB2312" w:cs="仿宋_GB2312"/>
          <w:color w:val="auto"/>
          <w:sz w:val="32"/>
          <w:szCs w:val="32"/>
          <w:highlight w:val="none"/>
          <w:lang w:eastAsia="zh-CN"/>
        </w:rPr>
        <w:t>其他社会保障缴费、</w:t>
      </w:r>
      <w:r>
        <w:rPr>
          <w:rFonts w:hint="eastAsia" w:ascii="仿宋_GB2312" w:hAnsi="仿宋_GB2312" w:eastAsia="仿宋_GB2312" w:cs="仿宋_GB2312"/>
          <w:color w:val="auto"/>
          <w:sz w:val="32"/>
          <w:szCs w:val="32"/>
          <w:highlight w:val="none"/>
        </w:rPr>
        <w:t>办公费、</w:t>
      </w:r>
      <w:r>
        <w:rPr>
          <w:rFonts w:hint="eastAsia" w:ascii="仿宋_GB2312" w:hAnsi="仿宋_GB2312" w:eastAsia="仿宋_GB2312" w:cs="仿宋_GB2312"/>
          <w:color w:val="auto"/>
          <w:sz w:val="32"/>
          <w:szCs w:val="32"/>
          <w:highlight w:val="none"/>
          <w:lang w:eastAsia="zh-CN"/>
        </w:rPr>
        <w:t>培训费、工会经费。</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四、三亚市天涯区退役军人事务局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“三公”经费预算情况说明</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三亚市天涯区</w:t>
      </w:r>
      <w:r>
        <w:rPr>
          <w:rFonts w:hint="eastAsia" w:ascii="仿宋_GB2312" w:hAnsi="仿宋_GB2312" w:eastAsia="仿宋_GB2312" w:cs="仿宋_GB2312"/>
          <w:color w:val="auto"/>
          <w:sz w:val="32"/>
          <w:szCs w:val="32"/>
          <w:highlight w:val="none"/>
          <w:lang w:val="en-US" w:eastAsia="zh-CN"/>
        </w:rPr>
        <w:t>退役军人事务局单位2024年</w:t>
      </w:r>
      <w:r>
        <w:rPr>
          <w:rFonts w:hint="eastAsia" w:ascii="仿宋_GB2312" w:hAnsi="黑体" w:eastAsia="仿宋_GB2312"/>
          <w:color w:val="auto"/>
          <w:sz w:val="32"/>
          <w:szCs w:val="32"/>
          <w:highlight w:val="none"/>
        </w:rPr>
        <w:t>一般公共预算“三公”经费预算数为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ind w:firstLine="630"/>
        <w:rPr>
          <w:rFonts w:hint="eastAsia" w:ascii="仿宋_GB2312" w:hAnsi="仿宋_GB2312" w:eastAsia="仿宋_GB2312" w:cs="仿宋_GB2312"/>
          <w:color w:val="auto"/>
          <w:sz w:val="32"/>
          <w:highlight w:val="none"/>
          <w:shd w:val="clear" w:color="auto" w:fill="FFFFFF"/>
          <w:lang w:eastAsia="zh-CN"/>
        </w:rPr>
      </w:pPr>
      <w:r>
        <w:rPr>
          <w:rFonts w:ascii="Times New Roman" w:hAnsi="Times New Roman" w:eastAsia="仿宋_GB2312" w:cs="Times New Roman"/>
          <w:color w:val="auto"/>
          <w:sz w:val="32"/>
          <w:highlight w:val="none"/>
          <w:shd w:val="clear" w:color="auto" w:fill="FFFFFF"/>
        </w:rPr>
        <w:t>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年预算持平。根据（如外事</w:t>
      </w:r>
      <w:r>
        <w:rPr>
          <w:rFonts w:hint="eastAsia" w:ascii="Times New Roman" w:hAnsi="Times New Roman" w:eastAsia="仿宋_GB2312" w:cs="Times New Roman"/>
          <w:color w:val="auto"/>
          <w:sz w:val="32"/>
          <w:highlight w:val="none"/>
          <w:shd w:val="clear" w:color="auto" w:fill="FFFFFF"/>
          <w:lang w:eastAsia="zh-CN"/>
        </w:rPr>
        <w:t>单位</w:t>
      </w:r>
      <w:r>
        <w:rPr>
          <w:rFonts w:ascii="Times New Roman" w:hAnsi="Times New Roman" w:eastAsia="仿宋_GB2312" w:cs="Times New Roman"/>
          <w:color w:val="auto"/>
          <w:sz w:val="32"/>
          <w:highlight w:val="none"/>
          <w:shd w:val="clear" w:color="auto" w:fill="FFFFFF"/>
        </w:rPr>
        <w:t>等）安排的</w:t>
      </w:r>
      <w:r>
        <w:rPr>
          <w:rFonts w:hint="eastAsia" w:ascii="仿宋_GB2312" w:hAnsi="黑体" w:eastAsia="仿宋_GB2312" w:cs="仿宋_GB2312"/>
          <w:color w:val="auto"/>
          <w:sz w:val="32"/>
          <w:szCs w:val="32"/>
          <w:highlight w:val="none"/>
          <w:lang w:val="en-US" w:eastAsia="zh-CN"/>
        </w:rPr>
        <w:t>2024年</w:t>
      </w:r>
      <w:r>
        <w:rPr>
          <w:rFonts w:ascii="Times New Roman" w:hAnsi="Times New Roman" w:eastAsia="仿宋_GB2312" w:cs="Times New Roman"/>
          <w:color w:val="auto"/>
          <w:sz w:val="32"/>
          <w:highlight w:val="none"/>
          <w:shd w:val="clear" w:color="auto" w:fill="FFFFFF"/>
        </w:rPr>
        <w:t>出国计划，拟安排出国（境）</w:t>
      </w:r>
      <w:r>
        <w:rPr>
          <w:rFonts w:hint="eastAsia" w:ascii="Times New Roman" w:hAnsi="Times New Roman" w:eastAsia="仿宋_GB2312" w:cs="Times New Roman"/>
          <w:color w:val="auto"/>
          <w:sz w:val="32"/>
          <w:highlight w:val="none"/>
          <w:shd w:val="clear" w:color="auto" w:fill="FFFFFF"/>
        </w:rPr>
        <w:t>团（</w:t>
      </w:r>
      <w:r>
        <w:rPr>
          <w:rFonts w:ascii="Times New Roman" w:hAnsi="Times New Roman" w:eastAsia="仿宋_GB2312" w:cs="Times New Roman"/>
          <w:color w:val="auto"/>
          <w:sz w:val="32"/>
          <w:highlight w:val="none"/>
          <w:shd w:val="clear" w:color="auto" w:fill="FFFFFF"/>
        </w:rPr>
        <w:t>组</w:t>
      </w:r>
      <w:r>
        <w:rPr>
          <w:rFonts w:hint="eastAsia" w:ascii="Times New Roman" w:hAnsi="Times New Roman" w:eastAsia="仿宋_GB2312" w:cs="Times New Roman"/>
          <w:color w:val="auto"/>
          <w:sz w:val="32"/>
          <w:highlight w:val="none"/>
          <w:shd w:val="clear" w:color="auto" w:fill="FFFFFF"/>
        </w:rPr>
        <w:t>）</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三亚市天涯区退役军人事务局</w:t>
      </w:r>
      <w:r>
        <w:rPr>
          <w:rFonts w:hint="eastAsia" w:ascii="仿宋_GB2312" w:hAnsi="仿宋_GB2312" w:eastAsia="仿宋_GB2312" w:cs="仿宋_GB2312"/>
          <w:color w:val="auto"/>
          <w:sz w:val="32"/>
          <w:szCs w:val="32"/>
          <w:highlight w:val="none"/>
          <w:lang w:val="en-US" w:eastAsia="zh-CN"/>
        </w:rPr>
        <w:t>单位2024年</w:t>
      </w:r>
      <w:r>
        <w:rPr>
          <w:rFonts w:hint="eastAsia" w:ascii="仿宋_GB2312" w:hAnsi="黑体" w:eastAsia="仿宋_GB2312"/>
          <w:color w:val="auto"/>
          <w:sz w:val="32"/>
          <w:szCs w:val="32"/>
          <w:highlight w:val="none"/>
        </w:rPr>
        <w:t>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rPr>
          <w:rFonts w:hint="eastAsia" w:ascii="Times New Roman" w:hAnsi="Times New Roman" w:eastAsia="仿宋_GB2312" w:cs="Times New Roman"/>
          <w:color w:val="auto"/>
          <w:sz w:val="32"/>
          <w:highlight w:val="none"/>
          <w:shd w:val="clear" w:color="auto" w:fill="FFFFFF"/>
          <w:lang w:val="en-US" w:eastAsia="zh-CN"/>
        </w:rPr>
      </w:pPr>
      <w:r>
        <w:rPr>
          <w:rFonts w:ascii="Times New Roman" w:hAnsi="Times New Roman" w:eastAsia="仿宋_GB2312" w:cs="Times New Roman"/>
          <w:color w:val="auto"/>
          <w:sz w:val="32"/>
          <w:highlight w:val="none"/>
          <w:shd w:val="clear" w:color="auto" w:fill="FFFFFF"/>
        </w:rPr>
        <w:t xml:space="preserve">    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ascii="Times New Roman" w:hAnsi="Times New Roman" w:eastAsia="仿宋_GB2312" w:cs="Times New Roman"/>
          <w:color w:val="auto"/>
          <w:sz w:val="32"/>
          <w:highlight w:val="none"/>
          <w:shd w:val="clear" w:color="auto" w:fill="FFFFFF"/>
        </w:rPr>
        <w:t>根据（如外事</w:t>
      </w:r>
      <w:r>
        <w:rPr>
          <w:rFonts w:hint="eastAsia" w:ascii="Times New Roman" w:hAnsi="Times New Roman" w:eastAsia="仿宋_GB2312" w:cs="Times New Roman"/>
          <w:color w:val="auto"/>
          <w:sz w:val="32"/>
          <w:highlight w:val="none"/>
          <w:shd w:val="clear" w:color="auto" w:fill="FFFFFF"/>
          <w:lang w:eastAsia="zh-CN"/>
        </w:rPr>
        <w:t>单位</w:t>
      </w:r>
      <w:r>
        <w:rPr>
          <w:rFonts w:ascii="Times New Roman" w:hAnsi="Times New Roman" w:eastAsia="仿宋_GB2312" w:cs="Times New Roman"/>
          <w:color w:val="auto"/>
          <w:sz w:val="32"/>
          <w:highlight w:val="none"/>
          <w:shd w:val="clear" w:color="auto" w:fill="FFFFFF"/>
        </w:rPr>
        <w:t>等）安排的</w:t>
      </w:r>
      <w:r>
        <w:rPr>
          <w:rFonts w:hint="eastAsia" w:ascii="仿宋_GB2312" w:hAnsi="黑体" w:eastAsia="仿宋_GB2312" w:cs="仿宋_GB2312"/>
          <w:color w:val="auto"/>
          <w:sz w:val="32"/>
          <w:szCs w:val="32"/>
          <w:highlight w:val="none"/>
          <w:lang w:val="en-US" w:eastAsia="zh-CN"/>
        </w:rPr>
        <w:t>2024年</w:t>
      </w:r>
      <w:r>
        <w:rPr>
          <w:rFonts w:ascii="Times New Roman" w:hAnsi="Times New Roman" w:eastAsia="仿宋_GB2312" w:cs="Times New Roman"/>
          <w:color w:val="auto"/>
          <w:sz w:val="32"/>
          <w:highlight w:val="none"/>
          <w:shd w:val="clear" w:color="auto" w:fill="FFFFFF"/>
        </w:rPr>
        <w:t>出国计划，拟安排出国（境）组</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hint="eastAsia" w:ascii="黑体" w:hAnsi="黑体" w:eastAsia="黑体" w:cs="黑体"/>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五、关于三亚市天涯区退役军人事务局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2024年</w:t>
      </w:r>
      <w:r>
        <w:rPr>
          <w:rFonts w:hint="eastAsia" w:ascii="黑体" w:hAnsi="黑体" w:eastAsia="黑体" w:cs="黑体"/>
          <w:color w:val="auto"/>
          <w:sz w:val="32"/>
          <w:highlight w:val="none"/>
          <w:shd w:val="clear" w:color="auto" w:fill="FFFFFF"/>
        </w:rPr>
        <w:t>政府性基金预算当年拨款情况说明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（一）政府性基金预算当年规模变化情况</w:t>
      </w:r>
    </w:p>
    <w:p>
      <w:pPr>
        <w:ind w:firstLine="640" w:firstLineChars="20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val="en-US" w:eastAsia="zh-CN"/>
        </w:rPr>
        <w:t>0.33万元，比上年预算数增加0.33万元，主要是城市建设支出增加。</w:t>
      </w:r>
    </w:p>
    <w:p>
      <w:pPr>
        <w:numPr>
          <w:ilvl w:val="0"/>
          <w:numId w:val="6"/>
        </w:num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政府性基金预算当年拨款结构情况</w:t>
      </w:r>
    </w:p>
    <w:p>
      <w:pPr>
        <w:numPr>
          <w:ilvl w:val="0"/>
          <w:numId w:val="0"/>
        </w:numPr>
        <w:ind w:firstLine="640" w:firstLineChars="200"/>
        <w:rPr>
          <w:rFonts w:hint="default" w:ascii="Times New Roman" w:hAnsi="Times New Roman" w:eastAsia="楷体"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城乡社区支出（类）支出</w:t>
      </w:r>
      <w:r>
        <w:rPr>
          <w:rFonts w:hint="eastAsia" w:ascii="仿宋_GB2312" w:hAnsi="仿宋_GB2312" w:eastAsia="仿宋_GB2312" w:cs="仿宋_GB2312"/>
          <w:color w:val="auto"/>
          <w:sz w:val="32"/>
          <w:szCs w:val="32"/>
          <w:highlight w:val="none"/>
          <w:lang w:val="en-US" w:eastAsia="zh-CN"/>
        </w:rPr>
        <w:t>0.33万元，占100%。</w:t>
      </w:r>
    </w:p>
    <w:p>
      <w:pPr>
        <w:numPr>
          <w:ilvl w:val="0"/>
          <w:numId w:val="6"/>
        </w:numPr>
        <w:ind w:left="0" w:leftChars="0"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政府性基金预算当年拨款具体使用情况</w:t>
      </w:r>
    </w:p>
    <w:p>
      <w:pPr>
        <w:numPr>
          <w:ilvl w:val="0"/>
          <w:numId w:val="7"/>
        </w:numPr>
        <w:ind w:firstLine="640" w:firstLineChars="200"/>
        <w:rPr>
          <w:rFonts w:hint="default"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eastAsia="zh-CN"/>
        </w:rPr>
        <w:t>（类）国有土地使用权出让收入安排的支出（款）城市建设支出（项）</w:t>
      </w:r>
      <w:r>
        <w:rPr>
          <w:rFonts w:hint="eastAsia" w:ascii="仿宋_GB2312" w:hAnsi="仿宋_GB2312" w:eastAsia="仿宋_GB2312" w:cs="仿宋_GB2312"/>
          <w:color w:val="auto"/>
          <w:sz w:val="32"/>
          <w:szCs w:val="32"/>
          <w:highlight w:val="none"/>
          <w:lang w:val="en-US" w:eastAsia="zh-CN"/>
        </w:rPr>
        <w:t>2024年预算数为0.33万元，比上年预算数增加0.33万元，主要是项目建设的增加。</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六、关于</w:t>
      </w:r>
      <w:r>
        <w:rPr>
          <w:rFonts w:hint="default" w:ascii="Times New Roman" w:hAnsi="Times New Roman" w:eastAsia="黑体" w:cs="Times New Roman"/>
          <w:color w:val="auto"/>
          <w:sz w:val="32"/>
          <w:highlight w:val="none"/>
          <w:shd w:val="clear" w:color="auto" w:fill="FFFFFF"/>
          <w:lang w:val="zh-CN"/>
        </w:rPr>
        <w:t>三亚市天涯区退役军人事务局</w:t>
      </w:r>
      <w:r>
        <w:rPr>
          <w:rFonts w:hint="eastAsia" w:ascii="Times New Roman" w:hAnsi="Times New Roman" w:eastAsia="黑体" w:cs="Times New Roman"/>
          <w:color w:val="auto"/>
          <w:sz w:val="32"/>
          <w:highlight w:val="none"/>
          <w:shd w:val="clear" w:color="auto" w:fill="FFFFFF"/>
          <w:lang w:val="zh-CN"/>
        </w:rPr>
        <w:t>单位</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收支预算情况的总体说明</w:t>
      </w:r>
    </w:p>
    <w:p>
      <w:pPr>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按照综合预算原则，三亚市天涯区退役军人事务局</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所有收入和支出均纳入</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预算管理。收入包括：一般</w:t>
      </w:r>
      <w:r>
        <w:rPr>
          <w:rFonts w:hint="eastAsia" w:ascii="Times New Roman" w:hAnsi="Times New Roman" w:eastAsia="仿宋_GB2312" w:cs="Times New Roman"/>
          <w:color w:val="auto"/>
          <w:sz w:val="32"/>
          <w:szCs w:val="32"/>
          <w:highlight w:val="none"/>
          <w:lang w:eastAsia="zh-CN"/>
        </w:rPr>
        <w:t>公共</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拨款</w:t>
      </w:r>
      <w:r>
        <w:rPr>
          <w:rFonts w:hint="default" w:ascii="Times New Roman" w:hAnsi="Times New Roman" w:eastAsia="仿宋_GB2312" w:cs="Times New Roman"/>
          <w:color w:val="auto"/>
          <w:sz w:val="32"/>
          <w:szCs w:val="32"/>
          <w:highlight w:val="none"/>
        </w:rPr>
        <w:t>收入</w:t>
      </w:r>
      <w:r>
        <w:rPr>
          <w:rFonts w:hint="eastAsia" w:ascii="Times New Roman" w:hAnsi="Times New Roman" w:eastAsia="仿宋_GB2312" w:cs="Times New Roman"/>
          <w:color w:val="auto"/>
          <w:sz w:val="32"/>
          <w:szCs w:val="32"/>
          <w:highlight w:val="none"/>
          <w:lang w:eastAsia="zh-CN"/>
        </w:rPr>
        <w:t>、政府性基金收入</w:t>
      </w:r>
      <w:r>
        <w:rPr>
          <w:rFonts w:hint="default" w:ascii="Times New Roman" w:hAnsi="Times New Roman" w:eastAsia="仿宋_GB2312" w:cs="Times New Roman"/>
          <w:color w:val="auto"/>
          <w:sz w:val="32"/>
          <w:szCs w:val="32"/>
          <w:highlight w:val="none"/>
        </w:rPr>
        <w:t>；支出包括：社会保障和就业支出、</w:t>
      </w:r>
      <w:r>
        <w:rPr>
          <w:rFonts w:hint="default" w:ascii="Times New Roman" w:hAnsi="Times New Roman" w:eastAsia="仿宋_GB2312" w:cs="Times New Roman"/>
          <w:color w:val="auto"/>
          <w:sz w:val="32"/>
          <w:szCs w:val="32"/>
          <w:highlight w:val="none"/>
          <w:lang w:eastAsia="zh-CN"/>
        </w:rPr>
        <w:t>卫生健康支出</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城乡社区支出、</w:t>
      </w:r>
      <w:r>
        <w:rPr>
          <w:rFonts w:hint="default" w:ascii="Times New Roman" w:hAnsi="Times New Roman" w:eastAsia="仿宋_GB2312" w:cs="Times New Roman"/>
          <w:color w:val="auto"/>
          <w:sz w:val="32"/>
          <w:szCs w:val="32"/>
          <w:highlight w:val="none"/>
        </w:rPr>
        <w:t>住房保障支出。三亚市天涯区退役军人事务局</w:t>
      </w:r>
      <w:r>
        <w:rPr>
          <w:rFonts w:hint="eastAsia" w:ascii="Times New Roman" w:hAnsi="Times New Roman" w:eastAsia="仿宋_GB2312" w:cs="Times New Roman"/>
          <w:color w:val="auto"/>
          <w:sz w:val="32"/>
          <w:szCs w:val="32"/>
          <w:highlight w:val="none"/>
          <w:lang w:eastAsia="zh-CN"/>
        </w:rPr>
        <w:t>单位</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收支总预算</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七、关于三亚市天涯区退役军人事务局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收入预算情况说明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收入预算</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上年结转</w:t>
      </w:r>
      <w:r>
        <w:rPr>
          <w:rFonts w:hint="eastAsia" w:ascii="仿宋_GB2312" w:hAnsi="仿宋_GB2312" w:eastAsia="仿宋_GB2312" w:cs="仿宋_GB2312"/>
          <w:color w:val="auto"/>
          <w:sz w:val="32"/>
          <w:szCs w:val="32"/>
          <w:highlight w:val="none"/>
          <w:lang w:val="en-US" w:eastAsia="zh-CN"/>
        </w:rPr>
        <w:t>67.39万元，占比2.83%;</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2310.59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97.17</w:t>
      </w:r>
      <w:r>
        <w:rPr>
          <w:rFonts w:hint="eastAsia" w:ascii="仿宋_GB2312" w:hAnsi="仿宋_GB2312" w:eastAsia="仿宋_GB2312" w:cs="仿宋_GB2312"/>
          <w:color w:val="auto"/>
          <w:sz w:val="32"/>
          <w:szCs w:val="32"/>
          <w:highlight w:val="none"/>
        </w:rPr>
        <w:t>%；政府性基金收入0万元，占0%；专项收入0万元，占0%。比上年预算数增加</w:t>
      </w:r>
      <w:r>
        <w:rPr>
          <w:rFonts w:hint="eastAsia" w:ascii="仿宋_GB2312" w:hAnsi="仿宋_GB2312" w:eastAsia="仿宋_GB2312" w:cs="仿宋_GB2312"/>
          <w:color w:val="auto"/>
          <w:sz w:val="32"/>
          <w:szCs w:val="32"/>
          <w:highlight w:val="none"/>
          <w:lang w:val="en-US" w:eastAsia="zh-CN"/>
        </w:rPr>
        <w:t>170.9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主要是上年结转、</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eastAsia="zh-CN"/>
        </w:rPr>
        <w:t>增加。</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八、关于三亚市天涯区退役军人事务局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支出预算情况说明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支出预算</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303.73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12.77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2074.25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87.23</w:t>
      </w:r>
      <w:r>
        <w:rPr>
          <w:rFonts w:hint="eastAsia" w:ascii="仿宋_GB2312" w:hAnsi="仿宋_GB2312" w:eastAsia="仿宋_GB2312" w:cs="仿宋_GB2312"/>
          <w:color w:val="auto"/>
          <w:sz w:val="32"/>
          <w:szCs w:val="32"/>
          <w:highlight w:val="none"/>
        </w:rPr>
        <w:t>%。比上年预算数增加</w:t>
      </w:r>
      <w:r>
        <w:rPr>
          <w:rFonts w:hint="eastAsia" w:ascii="仿宋_GB2312" w:hAnsi="仿宋_GB2312" w:eastAsia="仿宋_GB2312" w:cs="仿宋_GB2312"/>
          <w:color w:val="auto"/>
          <w:sz w:val="32"/>
          <w:szCs w:val="32"/>
          <w:highlight w:val="none"/>
          <w:lang w:val="en-US" w:eastAsia="zh-CN"/>
        </w:rPr>
        <w:t>170.9</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项目支出增加。</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九、其他重要事项的情况说明</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（一）机关运行经费（行政单位、参照公务员法管理的事业单位需说明，其他单位不需要说明）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的机关运行经费预算</w:t>
      </w:r>
      <w:r>
        <w:rPr>
          <w:rFonts w:hint="eastAsia" w:ascii="仿宋_GB2312" w:hAnsi="仿宋_GB2312" w:eastAsia="仿宋_GB2312" w:cs="仿宋_GB2312"/>
          <w:color w:val="auto"/>
          <w:sz w:val="32"/>
          <w:szCs w:val="32"/>
          <w:highlight w:val="none"/>
          <w:lang w:val="en-US" w:eastAsia="zh-CN"/>
        </w:rPr>
        <w:t>17万</w:t>
      </w:r>
      <w:r>
        <w:rPr>
          <w:rFonts w:hint="eastAsia" w:ascii="仿宋_GB2312" w:hAnsi="仿宋_GB2312" w:eastAsia="仿宋_GB2312" w:cs="仿宋_GB2312"/>
          <w:color w:val="auto"/>
          <w:sz w:val="32"/>
          <w:szCs w:val="32"/>
          <w:highlight w:val="none"/>
        </w:rPr>
        <w:t>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（二）政府采购情况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政府采购预算总额</w:t>
      </w:r>
      <w:r>
        <w:rPr>
          <w:rFonts w:hint="eastAsia" w:ascii="仿宋_GB2312" w:hAnsi="仿宋_GB2312" w:eastAsia="仿宋_GB2312" w:cs="仿宋_GB2312"/>
          <w:color w:val="auto"/>
          <w:sz w:val="32"/>
          <w:szCs w:val="32"/>
          <w:highlight w:val="none"/>
          <w:lang w:val="en-US" w:eastAsia="zh-CN"/>
        </w:rPr>
        <w:t>1.74</w:t>
      </w:r>
      <w:r>
        <w:rPr>
          <w:rFonts w:hint="eastAsia" w:ascii="仿宋_GB2312" w:hAnsi="仿宋_GB2312" w:eastAsia="仿宋_GB2312" w:cs="仿宋_GB2312"/>
          <w:color w:val="auto"/>
          <w:sz w:val="32"/>
          <w:szCs w:val="32"/>
          <w:highlight w:val="none"/>
        </w:rPr>
        <w:t>万元，其中：政府采购货物预算</w:t>
      </w:r>
      <w:r>
        <w:rPr>
          <w:rFonts w:hint="eastAsia" w:ascii="仿宋_GB2312" w:hAnsi="仿宋_GB2312" w:eastAsia="仿宋_GB2312" w:cs="仿宋_GB2312"/>
          <w:color w:val="auto"/>
          <w:sz w:val="32"/>
          <w:szCs w:val="32"/>
          <w:highlight w:val="none"/>
          <w:lang w:val="en-US" w:eastAsia="zh-CN"/>
        </w:rPr>
        <w:t>1.74</w:t>
      </w:r>
      <w:r>
        <w:rPr>
          <w:rFonts w:hint="eastAsia" w:ascii="仿宋_GB2312" w:hAnsi="仿宋_GB2312" w:eastAsia="仿宋_GB2312" w:cs="仿宋_GB2312"/>
          <w:color w:val="auto"/>
          <w:sz w:val="32"/>
          <w:szCs w:val="32"/>
          <w:highlight w:val="none"/>
        </w:rPr>
        <w:t>万元，政府采购工程预算0万元，政府采购服务预算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（三）国有资产占有使用情况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年12月31日，三亚市天涯区退役军人事务局单位</w:t>
      </w:r>
      <w:r>
        <w:rPr>
          <w:rFonts w:hint="eastAsia" w:ascii="仿宋_GB2312" w:hAnsi="仿宋_GB2312" w:eastAsia="仿宋_GB2312" w:cs="仿宋_GB2312"/>
          <w:color w:val="auto"/>
          <w:sz w:val="32"/>
          <w:szCs w:val="32"/>
          <w:highlight w:val="none"/>
          <w:lang w:eastAsia="zh-CN"/>
        </w:rPr>
        <w:t>本级</w:t>
      </w:r>
      <w:r>
        <w:rPr>
          <w:rFonts w:hint="eastAsia" w:ascii="仿宋_GB2312" w:hAnsi="仿宋_GB2312" w:eastAsia="仿宋_GB2312" w:cs="仿宋_GB2312"/>
          <w:color w:val="auto"/>
          <w:sz w:val="32"/>
          <w:szCs w:val="32"/>
          <w:highlight w:val="none"/>
        </w:rPr>
        <w:t>共有车辆0辆，其中，领导干部用车0辆，机要通信应急用车0辆、一般执法执勤用车0辆、特种专业技术用车0辆、其他用车0辆。单位价值100万元以上设备0台（套）。</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（四）绩效目标设置情况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个项目实行绩效目标管理，涉及一般公共预算</w:t>
      </w:r>
      <w:r>
        <w:rPr>
          <w:rFonts w:hint="eastAsia" w:ascii="仿宋_GB2312" w:hAnsi="仿宋_GB2312" w:eastAsia="仿宋_GB2312" w:cs="仿宋_GB2312"/>
          <w:color w:val="auto"/>
          <w:sz w:val="32"/>
          <w:szCs w:val="32"/>
          <w:highlight w:val="none"/>
          <w:lang w:val="en-US" w:eastAsia="zh-CN"/>
        </w:rPr>
        <w:t>2,310.59</w:t>
      </w:r>
      <w:r>
        <w:rPr>
          <w:rFonts w:hint="eastAsia" w:ascii="仿宋_GB2312" w:hAnsi="仿宋_GB2312" w:eastAsia="仿宋_GB2312" w:cs="仿宋_GB2312"/>
          <w:color w:val="auto"/>
          <w:sz w:val="32"/>
          <w:szCs w:val="32"/>
          <w:highlight w:val="none"/>
        </w:rPr>
        <w:t>万元。</w:t>
      </w:r>
    </w:p>
    <w:p>
      <w:pPr>
        <w:ind w:firstLine="640" w:firstLineChars="200"/>
        <w:rPr>
          <w:rFonts w:ascii="仿宋_GB2312" w:hAnsi="黑体" w:eastAsia="仿宋_GB2312"/>
          <w:color w:val="auto"/>
          <w:sz w:val="32"/>
          <w:szCs w:val="32"/>
          <w:highlight w:val="none"/>
        </w:rPr>
      </w:pPr>
    </w:p>
    <w:p>
      <w:pPr>
        <w:jc w:val="center"/>
        <w:rPr>
          <w:rFonts w:ascii="黑体" w:hAnsi="黑体" w:eastAsia="黑体"/>
          <w:color w:val="auto"/>
          <w:sz w:val="32"/>
          <w:szCs w:val="32"/>
          <w:highlight w:val="none"/>
        </w:rPr>
      </w:pPr>
    </w:p>
    <w:p>
      <w:pPr>
        <w:jc w:val="left"/>
        <w:rPr>
          <w:rFonts w:ascii="仿宋_GB2312" w:hAnsi="宋体" w:eastAsia="仿宋_GB2312" w:cs="宋体"/>
          <w:color w:val="auto"/>
          <w:kern w:val="0"/>
          <w:sz w:val="32"/>
          <w:szCs w:val="30"/>
          <w:highlight w:val="none"/>
        </w:rPr>
      </w:pPr>
    </w:p>
    <w:p>
      <w:pPr>
        <w:pStyle w:val="2"/>
        <w:rPr>
          <w:rFonts w:ascii="仿宋_GB2312" w:hAnsi="宋体" w:eastAsia="仿宋_GB2312" w:cs="宋体"/>
          <w:color w:val="auto"/>
          <w:kern w:val="0"/>
          <w:sz w:val="32"/>
          <w:szCs w:val="30"/>
          <w:highlight w:val="none"/>
        </w:rPr>
      </w:pPr>
    </w:p>
    <w:p>
      <w:pPr>
        <w:rPr>
          <w:rFonts w:ascii="仿宋_GB2312" w:hAnsi="宋体" w:eastAsia="仿宋_GB2312" w:cs="宋体"/>
          <w:color w:val="auto"/>
          <w:kern w:val="0"/>
          <w:sz w:val="32"/>
          <w:szCs w:val="30"/>
          <w:highlight w:val="none"/>
        </w:rPr>
      </w:pPr>
    </w:p>
    <w:p>
      <w:pPr>
        <w:pStyle w:val="2"/>
        <w:rPr>
          <w:rFonts w:ascii="仿宋_GB2312" w:hAnsi="宋体" w:eastAsia="仿宋_GB2312" w:cs="宋体"/>
          <w:color w:val="auto"/>
          <w:kern w:val="0"/>
          <w:sz w:val="32"/>
          <w:szCs w:val="30"/>
          <w:highlight w:val="none"/>
        </w:rPr>
      </w:pPr>
    </w:p>
    <w:p>
      <w:pPr>
        <w:rPr>
          <w:rFonts w:ascii="仿宋_GB2312" w:hAnsi="宋体" w:eastAsia="仿宋_GB2312" w:cs="宋体"/>
          <w:color w:val="auto"/>
          <w:kern w:val="0"/>
          <w:sz w:val="32"/>
          <w:szCs w:val="30"/>
          <w:highlight w:val="none"/>
        </w:rPr>
      </w:pPr>
    </w:p>
    <w:p>
      <w:pPr>
        <w:pStyle w:val="2"/>
        <w:rPr>
          <w:rFonts w:ascii="仿宋_GB2312" w:hAnsi="宋体" w:eastAsia="仿宋_GB2312" w:cs="宋体"/>
          <w:color w:val="auto"/>
          <w:kern w:val="0"/>
          <w:sz w:val="32"/>
          <w:szCs w:val="30"/>
          <w:highlight w:val="none"/>
        </w:rPr>
      </w:pPr>
    </w:p>
    <w:p/>
    <w:p>
      <w:pPr>
        <w:rPr>
          <w:rFonts w:ascii="仿宋_GB2312" w:hAnsi="宋体" w:eastAsia="仿宋_GB2312" w:cs="宋体"/>
          <w:color w:val="auto"/>
          <w:kern w:val="0"/>
          <w:sz w:val="32"/>
          <w:szCs w:val="30"/>
          <w:highlight w:val="none"/>
        </w:rPr>
      </w:pPr>
    </w:p>
    <w:p>
      <w:pPr>
        <w:pStyle w:val="2"/>
      </w:pPr>
    </w:p>
    <w:p/>
    <w:p>
      <w:pPr>
        <w:pStyle w:val="2"/>
      </w:pPr>
    </w:p>
    <w:p/>
    <w:p>
      <w:pPr>
        <w:pStyle w:val="2"/>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color w:val="auto"/>
          <w:sz w:val="32"/>
          <w:szCs w:val="32"/>
          <w:highlight w:val="none"/>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7767"/>
    <w:multiLevelType w:val="singleLevel"/>
    <w:tmpl w:val="9E137767"/>
    <w:lvl w:ilvl="0" w:tentative="0">
      <w:start w:val="1"/>
      <w:numFmt w:val="decimal"/>
      <w:suff w:val="space"/>
      <w:lvlText w:val="%1."/>
      <w:lvlJc w:val="left"/>
    </w:lvl>
  </w:abstractNum>
  <w:abstractNum w:abstractNumId="1">
    <w:nsid w:val="C2BC843A"/>
    <w:multiLevelType w:val="singleLevel"/>
    <w:tmpl w:val="C2BC843A"/>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TBiMDgzYzY3ZTAwYTVhMmY4Y2VjNzFkMTFjZGEifQ=="/>
  </w:docVars>
  <w:rsids>
    <w:rsidRoot w:val="00172A27"/>
    <w:rsid w:val="00002A5F"/>
    <w:rsid w:val="00003088"/>
    <w:rsid w:val="000366A9"/>
    <w:rsid w:val="00045F67"/>
    <w:rsid w:val="001326C1"/>
    <w:rsid w:val="00161A6D"/>
    <w:rsid w:val="00172A27"/>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96D8B"/>
    <w:rsid w:val="00CA7DBE"/>
    <w:rsid w:val="00CD7757"/>
    <w:rsid w:val="00CE0C42"/>
    <w:rsid w:val="00DC65EF"/>
    <w:rsid w:val="00DD3FD8"/>
    <w:rsid w:val="00E3389C"/>
    <w:rsid w:val="00E73A4A"/>
    <w:rsid w:val="00ED50D0"/>
    <w:rsid w:val="00ED6580"/>
    <w:rsid w:val="00F442C4"/>
    <w:rsid w:val="00F91B44"/>
    <w:rsid w:val="00FB0A31"/>
    <w:rsid w:val="00FF3698"/>
    <w:rsid w:val="01196E52"/>
    <w:rsid w:val="013969E9"/>
    <w:rsid w:val="02ED78EC"/>
    <w:rsid w:val="03E01775"/>
    <w:rsid w:val="046E5030"/>
    <w:rsid w:val="05D855A5"/>
    <w:rsid w:val="06AB10E9"/>
    <w:rsid w:val="06CD1FC3"/>
    <w:rsid w:val="084E5E3D"/>
    <w:rsid w:val="09A9251B"/>
    <w:rsid w:val="09B11BD0"/>
    <w:rsid w:val="09EA5159"/>
    <w:rsid w:val="0BF00EE6"/>
    <w:rsid w:val="0C1620D5"/>
    <w:rsid w:val="0D7C5CF5"/>
    <w:rsid w:val="0F894B3D"/>
    <w:rsid w:val="0FFA0F3D"/>
    <w:rsid w:val="102C5131"/>
    <w:rsid w:val="10BF50A3"/>
    <w:rsid w:val="10F81754"/>
    <w:rsid w:val="10FF0977"/>
    <w:rsid w:val="112212D1"/>
    <w:rsid w:val="13585039"/>
    <w:rsid w:val="13947B48"/>
    <w:rsid w:val="16692E10"/>
    <w:rsid w:val="16A9586D"/>
    <w:rsid w:val="179723DE"/>
    <w:rsid w:val="17F5321F"/>
    <w:rsid w:val="183337A9"/>
    <w:rsid w:val="18523868"/>
    <w:rsid w:val="18B474E9"/>
    <w:rsid w:val="18F47167"/>
    <w:rsid w:val="194F6380"/>
    <w:rsid w:val="1A2C0121"/>
    <w:rsid w:val="1B42717F"/>
    <w:rsid w:val="1BB815FC"/>
    <w:rsid w:val="1BE82013"/>
    <w:rsid w:val="1CE041DF"/>
    <w:rsid w:val="1CE17423"/>
    <w:rsid w:val="1D862A80"/>
    <w:rsid w:val="1F012811"/>
    <w:rsid w:val="1FC1176D"/>
    <w:rsid w:val="2045614C"/>
    <w:rsid w:val="206B172D"/>
    <w:rsid w:val="21A11FB0"/>
    <w:rsid w:val="23853A73"/>
    <w:rsid w:val="24371FF7"/>
    <w:rsid w:val="24C45EBF"/>
    <w:rsid w:val="25AE45A2"/>
    <w:rsid w:val="26797620"/>
    <w:rsid w:val="28982547"/>
    <w:rsid w:val="28AC67FD"/>
    <w:rsid w:val="29210809"/>
    <w:rsid w:val="2AC943E5"/>
    <w:rsid w:val="2B542946"/>
    <w:rsid w:val="2B666BA4"/>
    <w:rsid w:val="2B7B144C"/>
    <w:rsid w:val="2D864B15"/>
    <w:rsid w:val="2E680A67"/>
    <w:rsid w:val="304E0D04"/>
    <w:rsid w:val="30615464"/>
    <w:rsid w:val="31CB69CE"/>
    <w:rsid w:val="324F37E8"/>
    <w:rsid w:val="33243844"/>
    <w:rsid w:val="36C97D20"/>
    <w:rsid w:val="36D5056C"/>
    <w:rsid w:val="3990129D"/>
    <w:rsid w:val="39EC603D"/>
    <w:rsid w:val="3BE64C6C"/>
    <w:rsid w:val="3C1668F2"/>
    <w:rsid w:val="3C6A2572"/>
    <w:rsid w:val="3CF76946"/>
    <w:rsid w:val="3D280063"/>
    <w:rsid w:val="3E65443B"/>
    <w:rsid w:val="3E9017AE"/>
    <w:rsid w:val="3F4F7572"/>
    <w:rsid w:val="40E566F0"/>
    <w:rsid w:val="412B5DAE"/>
    <w:rsid w:val="41D52823"/>
    <w:rsid w:val="42371A5C"/>
    <w:rsid w:val="43072E4A"/>
    <w:rsid w:val="445C6678"/>
    <w:rsid w:val="44F928FA"/>
    <w:rsid w:val="45282DB6"/>
    <w:rsid w:val="45505AB1"/>
    <w:rsid w:val="45D47C15"/>
    <w:rsid w:val="479070CF"/>
    <w:rsid w:val="47A04556"/>
    <w:rsid w:val="47A67DBA"/>
    <w:rsid w:val="47B235E4"/>
    <w:rsid w:val="480212E4"/>
    <w:rsid w:val="488439F4"/>
    <w:rsid w:val="4953791E"/>
    <w:rsid w:val="497E57F5"/>
    <w:rsid w:val="4A1A686D"/>
    <w:rsid w:val="4A2015E5"/>
    <w:rsid w:val="4AA5036C"/>
    <w:rsid w:val="4B2C0426"/>
    <w:rsid w:val="4B6B7699"/>
    <w:rsid w:val="4B972BCA"/>
    <w:rsid w:val="4D4F3778"/>
    <w:rsid w:val="4DF52246"/>
    <w:rsid w:val="4F790058"/>
    <w:rsid w:val="504B2892"/>
    <w:rsid w:val="5365779E"/>
    <w:rsid w:val="53EB70D0"/>
    <w:rsid w:val="54555DF8"/>
    <w:rsid w:val="54761A7F"/>
    <w:rsid w:val="557F7CC4"/>
    <w:rsid w:val="55B55665"/>
    <w:rsid w:val="55CA5489"/>
    <w:rsid w:val="57662666"/>
    <w:rsid w:val="585B279E"/>
    <w:rsid w:val="5A7811E0"/>
    <w:rsid w:val="5B0B6B4A"/>
    <w:rsid w:val="5B8754F4"/>
    <w:rsid w:val="5BC92AEC"/>
    <w:rsid w:val="5C125A92"/>
    <w:rsid w:val="5C3730B0"/>
    <w:rsid w:val="5D704225"/>
    <w:rsid w:val="5DA475D0"/>
    <w:rsid w:val="5E823649"/>
    <w:rsid w:val="5E8A1DC1"/>
    <w:rsid w:val="6047761F"/>
    <w:rsid w:val="61364853"/>
    <w:rsid w:val="61472A5A"/>
    <w:rsid w:val="61530042"/>
    <w:rsid w:val="62415240"/>
    <w:rsid w:val="62A7660F"/>
    <w:rsid w:val="62F25F75"/>
    <w:rsid w:val="65294FFB"/>
    <w:rsid w:val="65791B12"/>
    <w:rsid w:val="67622540"/>
    <w:rsid w:val="67A4323B"/>
    <w:rsid w:val="67FA39A4"/>
    <w:rsid w:val="689566F6"/>
    <w:rsid w:val="697B246B"/>
    <w:rsid w:val="69FC3F22"/>
    <w:rsid w:val="6A1362BF"/>
    <w:rsid w:val="6AC132CB"/>
    <w:rsid w:val="6AE57D70"/>
    <w:rsid w:val="6B4A4FAD"/>
    <w:rsid w:val="6CCE04CC"/>
    <w:rsid w:val="6DAA6E76"/>
    <w:rsid w:val="6E5E156F"/>
    <w:rsid w:val="6E5E65A5"/>
    <w:rsid w:val="6F51484D"/>
    <w:rsid w:val="6FA57A07"/>
    <w:rsid w:val="6FF96F24"/>
    <w:rsid w:val="701C4DFE"/>
    <w:rsid w:val="7034247A"/>
    <w:rsid w:val="718C24B8"/>
    <w:rsid w:val="72664408"/>
    <w:rsid w:val="72F00843"/>
    <w:rsid w:val="73132670"/>
    <w:rsid w:val="74034AEB"/>
    <w:rsid w:val="742E5700"/>
    <w:rsid w:val="766958B4"/>
    <w:rsid w:val="769A10E6"/>
    <w:rsid w:val="76CE597E"/>
    <w:rsid w:val="779D6180"/>
    <w:rsid w:val="77C132D6"/>
    <w:rsid w:val="786B36F0"/>
    <w:rsid w:val="78AB3B49"/>
    <w:rsid w:val="796F23BB"/>
    <w:rsid w:val="7A0C0C37"/>
    <w:rsid w:val="7C2A4F75"/>
    <w:rsid w:val="7D137C0E"/>
    <w:rsid w:val="7EF15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100" w:beforeAutospacing="1" w:after="100" w:afterAutospacing="1" w:line="360" w:lineRule="auto"/>
      <w:outlineLvl w:val="1"/>
    </w:pPr>
    <w:rPr>
      <w:rFonts w:ascii="Arial" w:hAnsi="Arial" w:eastAsia="黑体"/>
      <w:b/>
      <w:bCs/>
      <w:sz w:val="36"/>
      <w:szCs w:val="32"/>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qFormat/>
    <w:uiPriority w:val="34"/>
    <w:pPr>
      <w:ind w:firstLine="420" w:firstLineChars="200"/>
    </w:p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3966</Words>
  <Characters>4350</Characters>
  <Lines>29</Lines>
  <Paragraphs>8</Paragraphs>
  <TotalTime>22</TotalTime>
  <ScaleCrop>false</ScaleCrop>
  <LinksUpToDate>false</LinksUpToDate>
  <CharactersWithSpaces>4378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李芬</cp:lastModifiedBy>
  <dcterms:modified xsi:type="dcterms:W3CDTF">2024-03-18T10:09:00Z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C1B0BAC0BAAC41D6B4832DC1D5F24EB4</vt:lpwstr>
  </property>
</Properties>
</file>