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ascii="方正小标宋简体" w:hAnsi="方正小标宋简体" w:eastAsia="方正小标宋简体" w:cs="方正小标宋简体"/>
          <w:color w:val="000000"/>
          <w:kern w:val="0"/>
          <w:sz w:val="43"/>
          <w:szCs w:val="43"/>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rPr>
          <w:rFonts w:hint="eastAsia" w:ascii="方正小标宋简体" w:hAnsi="方正小标宋简体" w:eastAsia="方正小标宋简体" w:cs="方正小标宋简体"/>
          <w:color w:val="000000"/>
          <w:kern w:val="0"/>
          <w:sz w:val="43"/>
          <w:szCs w:val="43"/>
          <w:lang w:val="en-US" w:eastAsia="zh-CN" w:bidi="ar"/>
        </w:rPr>
      </w:pPr>
      <w:r>
        <w:rPr>
          <w:rFonts w:ascii="方正小标宋简体" w:hAnsi="方正小标宋简体" w:eastAsia="方正小标宋简体" w:cs="方正小标宋简体"/>
          <w:color w:val="000000"/>
          <w:kern w:val="0"/>
          <w:sz w:val="43"/>
          <w:szCs w:val="43"/>
          <w:lang w:val="en-US" w:eastAsia="zh-CN" w:bidi="ar"/>
        </w:rPr>
        <w:t>中共三亚市天涯区委农村工作领导小组办公室</w:t>
      </w:r>
      <w:r>
        <w:rPr>
          <w:rFonts w:hint="eastAsia" w:ascii="方正小标宋简体" w:hAnsi="方正小标宋简体" w:eastAsia="方正小标宋简体" w:cs="方正小标宋简体"/>
          <w:color w:val="000000"/>
          <w:kern w:val="0"/>
          <w:sz w:val="43"/>
          <w:szCs w:val="43"/>
          <w:lang w:val="en-US" w:eastAsia="zh-CN" w:bidi="ar"/>
        </w:rPr>
        <w:t>关于调整白鸡小组农产品储存库等2个项目</w:t>
      </w:r>
    </w:p>
    <w:p>
      <w:pPr>
        <w:keepNext w:val="0"/>
        <w:keepLines w:val="0"/>
        <w:pageBreakBefore w:val="0"/>
        <w:widowControl/>
        <w:suppressLineNumbers w:val="0"/>
        <w:kinsoku/>
        <w:wordWrap/>
        <w:overflowPunct/>
        <w:topLinePunct w:val="0"/>
        <w:autoSpaceDE/>
        <w:autoSpaceDN/>
        <w:bidi w:val="0"/>
        <w:adjustRightInd/>
        <w:snapToGrid/>
        <w:spacing w:line="578" w:lineRule="exact"/>
        <w:jc w:val="center"/>
        <w:textAlignment w:val="auto"/>
      </w:pPr>
      <w:r>
        <w:rPr>
          <w:rFonts w:hint="eastAsia" w:ascii="方正小标宋简体" w:hAnsi="方正小标宋简体" w:eastAsia="方正小标宋简体" w:cs="方正小标宋简体"/>
          <w:color w:val="000000"/>
          <w:kern w:val="0"/>
          <w:sz w:val="43"/>
          <w:szCs w:val="43"/>
          <w:lang w:val="en-US" w:eastAsia="zh-CN" w:bidi="ar"/>
        </w:rPr>
        <w:t>衔接资金使用的通知</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textAlignment w:val="auto"/>
        <w:rPr>
          <w:rFonts w:ascii="仿宋_GB2312" w:eastAsia="仿宋_GB2312" w:cs="仿宋_GB2312"/>
          <w:color w:val="000000"/>
          <w:sz w:val="31"/>
          <w:szCs w:val="31"/>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textAlignment w:val="auto"/>
      </w:pPr>
      <w:r>
        <w:rPr>
          <w:rFonts w:ascii="仿宋_GB2312" w:eastAsia="仿宋_GB2312" w:cs="仿宋_GB2312"/>
          <w:color w:val="000000"/>
          <w:sz w:val="31"/>
          <w:szCs w:val="31"/>
        </w:rPr>
        <w:t>区农业农村局、区财政局</w:t>
      </w:r>
      <w:r>
        <w:rPr>
          <w:rFonts w:hint="eastAsia" w:ascii="仿宋_GB2312" w:eastAsia="仿宋_GB2312" w:cs="仿宋_GB2312"/>
          <w:color w:val="000000"/>
          <w:sz w:val="31"/>
          <w:szCs w:val="31"/>
          <w:lang w:eastAsia="zh-CN"/>
        </w:rPr>
        <w:t>、区乡投公司，水蛟村委会、文门村委会</w:t>
      </w:r>
      <w:r>
        <w:rPr>
          <w:rFonts w:ascii="仿宋_GB2312" w:eastAsia="仿宋_GB2312" w:cs="仿宋_GB2312"/>
          <w:color w:val="000000"/>
          <w:sz w:val="31"/>
          <w:szCs w:val="31"/>
        </w:rPr>
        <w:t>：</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eastAsia="仿宋_GB2312"/>
          <w:lang w:eastAsia="zh-CN"/>
        </w:rPr>
      </w:pPr>
      <w:r>
        <w:rPr>
          <w:rFonts w:hint="eastAsia" w:ascii="仿宋_GB2312" w:eastAsia="仿宋_GB2312" w:cs="仿宋_GB2312"/>
          <w:color w:val="000000"/>
          <w:sz w:val="31"/>
          <w:szCs w:val="31"/>
        </w:rPr>
        <w:t>为提高衔接资金使用效益，加快衔接资金支出进度，根据省级、市级财政衔接推进乡村振兴补助资金管理办法及其补充通知有关要求，经中共三亚市天涯区委农村工作领导小组第</w:t>
      </w:r>
      <w:r>
        <w:rPr>
          <w:rFonts w:hint="eastAsia" w:ascii="Times New Roman" w:hAnsi="Times New Roman" w:eastAsia="仿宋_GB2312" w:cs="Times New Roman"/>
          <w:color w:val="000000"/>
          <w:sz w:val="31"/>
          <w:szCs w:val="31"/>
          <w:lang w:val="en-US" w:eastAsia="zh-CN"/>
        </w:rPr>
        <w:t>6</w:t>
      </w:r>
      <w:r>
        <w:rPr>
          <w:rFonts w:hint="eastAsia" w:ascii="仿宋_GB2312" w:eastAsia="仿宋_GB2312" w:cs="仿宋_GB2312"/>
          <w:color w:val="000000"/>
          <w:sz w:val="31"/>
          <w:szCs w:val="31"/>
        </w:rPr>
        <w:t>次会议审议通过，将</w:t>
      </w:r>
      <w:r>
        <w:rPr>
          <w:rFonts w:hint="eastAsia" w:ascii="仿宋_GB2312" w:eastAsia="仿宋_GB2312" w:cs="仿宋_GB2312"/>
          <w:color w:val="000000"/>
          <w:sz w:val="31"/>
          <w:szCs w:val="31"/>
          <w:lang w:eastAsia="zh-CN"/>
        </w:rPr>
        <w:t>原</w:t>
      </w:r>
      <w:r>
        <w:rPr>
          <w:rFonts w:hint="eastAsia" w:eastAsia="仿宋_GB2312" w:cs="Times New Roman"/>
          <w:sz w:val="32"/>
          <w:szCs w:val="32"/>
          <w:lang w:val="en-US" w:eastAsia="zh-CN"/>
        </w:rPr>
        <w:t>安排至白鸡小组农产品储存库项目、文门村东西风小组农产品仓储工程项目的财政衔接资金调整实施项目</w:t>
      </w:r>
      <w:r>
        <w:rPr>
          <w:rFonts w:hint="eastAsia" w:ascii="仿宋_GB2312" w:eastAsia="仿宋_GB2312" w:cs="仿宋_GB2312"/>
          <w:color w:val="000000"/>
          <w:sz w:val="31"/>
          <w:szCs w:val="31"/>
        </w:rPr>
        <w:t>，具体如下</w:t>
      </w:r>
      <w:r>
        <w:rPr>
          <w:rFonts w:hint="eastAsia" w:ascii="仿宋_GB2312" w:eastAsia="仿宋_GB2312" w:cs="仿宋_GB2312"/>
          <w:color w:val="000000"/>
          <w:sz w:val="31"/>
          <w:szCs w:val="31"/>
          <w:lang w:eastAsia="zh-CN"/>
        </w:rPr>
        <w:t>：</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一</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eastAsia="zh-CN"/>
        </w:rPr>
        <w:t>将</w:t>
      </w:r>
      <w:r>
        <w:rPr>
          <w:rFonts w:hint="default" w:ascii="Times New Roman" w:hAnsi="Times New Roman" w:eastAsia="仿宋_GB2312" w:cs="Times New Roman"/>
          <w:color w:val="000000"/>
          <w:sz w:val="32"/>
          <w:szCs w:val="32"/>
        </w:rPr>
        <w:t>原安排</w:t>
      </w:r>
      <w:r>
        <w:rPr>
          <w:rFonts w:hint="default" w:ascii="Times New Roman" w:hAnsi="Times New Roman" w:eastAsia="仿宋_GB2312" w:cs="Times New Roman"/>
          <w:sz w:val="32"/>
          <w:szCs w:val="32"/>
          <w:lang w:val="en-US" w:eastAsia="zh-CN"/>
        </w:rPr>
        <w:t>白鸡小组农产品储存库项目财政衔接资金共170万元</w:t>
      </w:r>
      <w:r>
        <w:rPr>
          <w:rFonts w:hint="default" w:ascii="Times New Roman" w:hAnsi="Times New Roman" w:eastAsia="仿宋_GB2312" w:cs="Times New Roman"/>
          <w:color w:val="000000"/>
          <w:sz w:val="32"/>
          <w:szCs w:val="32"/>
        </w:rPr>
        <w:t>调整</w:t>
      </w:r>
      <w:r>
        <w:rPr>
          <w:rFonts w:hint="default" w:ascii="Times New Roman" w:hAnsi="Times New Roman" w:eastAsia="仿宋_GB2312" w:cs="Times New Roman"/>
          <w:color w:val="000000"/>
          <w:sz w:val="32"/>
          <w:szCs w:val="32"/>
          <w:lang w:eastAsia="zh-CN"/>
        </w:rPr>
        <w:t>至</w:t>
      </w:r>
      <w:r>
        <w:rPr>
          <w:rFonts w:hint="default" w:ascii="Times New Roman" w:hAnsi="Times New Roman" w:eastAsia="仿宋_GB2312" w:cs="Times New Roman"/>
          <w:color w:val="000000"/>
          <w:sz w:val="32"/>
          <w:szCs w:val="32"/>
        </w:rPr>
        <w:t>南果农产品冷链集配中心项目实施</w:t>
      </w:r>
      <w:r>
        <w:rPr>
          <w:rFonts w:hint="default" w:ascii="Times New Roman" w:hAnsi="Times New Roman" w:eastAsia="仿宋_GB2312" w:cs="Times New Roman"/>
          <w:sz w:val="32"/>
          <w:szCs w:val="32"/>
          <w:lang w:val="en-US" w:eastAsia="zh-CN"/>
        </w:rPr>
        <w:t>，其中：2025年巩固拓展脱贫攻坚成果和乡村振兴任务（第二批）</w:t>
      </w:r>
      <w:r>
        <w:rPr>
          <w:rFonts w:hint="default" w:ascii="Times New Roman" w:hAnsi="Times New Roman" w:eastAsia="仿宋_GB2312" w:cs="Times New Roman"/>
          <w:color w:val="000000"/>
          <w:sz w:val="32"/>
          <w:szCs w:val="32"/>
          <w:lang w:eastAsia="zh-CN"/>
        </w:rPr>
        <w:t>省级</w:t>
      </w:r>
      <w:r>
        <w:rPr>
          <w:rFonts w:hint="default" w:ascii="Times New Roman" w:hAnsi="Times New Roman" w:eastAsia="仿宋_GB2312" w:cs="Times New Roman"/>
          <w:color w:val="000000"/>
          <w:sz w:val="32"/>
          <w:szCs w:val="32"/>
        </w:rPr>
        <w:t>资金</w:t>
      </w:r>
      <w:r>
        <w:rPr>
          <w:rFonts w:hint="default" w:ascii="Times New Roman" w:hAnsi="Times New Roman" w:eastAsia="仿宋_GB2312" w:cs="Times New Roman"/>
          <w:color w:val="000000"/>
          <w:sz w:val="32"/>
          <w:szCs w:val="32"/>
          <w:lang w:val="en-US" w:eastAsia="zh-CN"/>
        </w:rPr>
        <w:t>70</w:t>
      </w:r>
      <w:r>
        <w:rPr>
          <w:rFonts w:hint="default" w:ascii="Times New Roman" w:hAnsi="Times New Roman" w:eastAsia="仿宋_GB2312" w:cs="Times New Roman"/>
          <w:color w:val="000000"/>
          <w:sz w:val="32"/>
          <w:szCs w:val="32"/>
        </w:rPr>
        <w:t>万元</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2025年水蛟村新型农村集体经济扶持资金100万元</w:t>
      </w:r>
      <w:r>
        <w:rPr>
          <w:rFonts w:hint="default" w:ascii="Times New Roman" w:hAnsi="Times New Roman" w:eastAsia="仿宋_GB2312" w:cs="Times New Roman"/>
          <w:color w:val="000000"/>
          <w:sz w:val="32"/>
          <w:szCs w:val="32"/>
        </w:rPr>
        <w:t>。</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二</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eastAsia="zh-CN"/>
        </w:rPr>
        <w:t>将</w:t>
      </w:r>
      <w:r>
        <w:rPr>
          <w:rFonts w:hint="default" w:ascii="Times New Roman" w:hAnsi="Times New Roman" w:eastAsia="仿宋_GB2312" w:cs="Times New Roman"/>
          <w:color w:val="000000"/>
          <w:sz w:val="32"/>
          <w:szCs w:val="32"/>
        </w:rPr>
        <w:t>原安排</w:t>
      </w:r>
      <w:r>
        <w:rPr>
          <w:rFonts w:hint="default" w:ascii="Times New Roman" w:hAnsi="Times New Roman" w:eastAsia="仿宋_GB2312" w:cs="Times New Roman"/>
          <w:sz w:val="32"/>
          <w:szCs w:val="32"/>
          <w:lang w:val="en-US" w:eastAsia="zh-CN"/>
        </w:rPr>
        <w:t>文门村东西风小组农产品仓储工程项目财政衔接资金共198万元</w:t>
      </w:r>
      <w:r>
        <w:rPr>
          <w:rFonts w:hint="default" w:ascii="Times New Roman" w:hAnsi="Times New Roman" w:eastAsia="仿宋_GB2312" w:cs="Times New Roman"/>
          <w:color w:val="000000"/>
          <w:sz w:val="32"/>
          <w:szCs w:val="32"/>
        </w:rPr>
        <w:t>调整</w:t>
      </w:r>
      <w:r>
        <w:rPr>
          <w:rFonts w:hint="default" w:ascii="Times New Roman" w:hAnsi="Times New Roman" w:eastAsia="仿宋_GB2312" w:cs="Times New Roman"/>
          <w:color w:val="000000"/>
          <w:sz w:val="32"/>
          <w:szCs w:val="32"/>
          <w:lang w:eastAsia="zh-CN"/>
        </w:rPr>
        <w:t>至</w:t>
      </w:r>
      <w:r>
        <w:rPr>
          <w:rFonts w:hint="default" w:ascii="Times New Roman" w:hAnsi="Times New Roman" w:eastAsia="仿宋_GB2312" w:cs="Times New Roman"/>
          <w:color w:val="000000"/>
          <w:sz w:val="32"/>
          <w:szCs w:val="32"/>
        </w:rPr>
        <w:t>南果农产品冷链集配中心项目实施</w:t>
      </w:r>
      <w:r>
        <w:rPr>
          <w:rFonts w:hint="default" w:ascii="Times New Roman" w:hAnsi="Times New Roman" w:eastAsia="仿宋_GB2312" w:cs="Times New Roman"/>
          <w:sz w:val="32"/>
          <w:szCs w:val="32"/>
          <w:lang w:val="en-US" w:eastAsia="zh-CN"/>
        </w:rPr>
        <w:t>，其中：2025年巩固拓展脱贫攻坚成果和乡村振兴任务（第二批）</w:t>
      </w:r>
      <w:r>
        <w:rPr>
          <w:rFonts w:hint="default" w:ascii="Times New Roman" w:hAnsi="Times New Roman" w:eastAsia="仿宋_GB2312" w:cs="Times New Roman"/>
          <w:color w:val="000000"/>
          <w:sz w:val="32"/>
          <w:szCs w:val="32"/>
          <w:lang w:eastAsia="zh-CN"/>
        </w:rPr>
        <w:t>省级</w:t>
      </w:r>
      <w:r>
        <w:rPr>
          <w:rFonts w:hint="default" w:ascii="Times New Roman" w:hAnsi="Times New Roman" w:eastAsia="仿宋_GB2312" w:cs="Times New Roman"/>
          <w:color w:val="000000"/>
          <w:sz w:val="32"/>
          <w:szCs w:val="32"/>
        </w:rPr>
        <w:t>资金</w:t>
      </w:r>
      <w:r>
        <w:rPr>
          <w:rFonts w:hint="default" w:ascii="Times New Roman" w:hAnsi="Times New Roman" w:eastAsia="仿宋_GB2312" w:cs="Times New Roman"/>
          <w:color w:val="000000"/>
          <w:sz w:val="32"/>
          <w:szCs w:val="32"/>
          <w:lang w:val="en-US" w:eastAsia="zh-CN"/>
        </w:rPr>
        <w:t>98</w:t>
      </w:r>
      <w:r>
        <w:rPr>
          <w:rFonts w:hint="default" w:ascii="Times New Roman" w:hAnsi="Times New Roman" w:eastAsia="仿宋_GB2312" w:cs="Times New Roman"/>
          <w:color w:val="000000"/>
          <w:sz w:val="32"/>
          <w:szCs w:val="32"/>
        </w:rPr>
        <w:t>万元</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2025年文门村新型农村集体经济扶持资金100万元</w:t>
      </w:r>
      <w:r>
        <w:rPr>
          <w:rFonts w:hint="default" w:ascii="Times New Roman" w:hAnsi="Times New Roman" w:eastAsia="仿宋_GB2312" w:cs="Times New Roman"/>
          <w:color w:val="000000"/>
          <w:sz w:val="32"/>
          <w:szCs w:val="32"/>
        </w:rPr>
        <w:t>。</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rPr>
      </w:pPr>
      <w:r>
        <w:rPr>
          <w:rFonts w:hint="eastAsia" w:ascii="仿宋_GB2312" w:eastAsia="仿宋_GB2312" w:cs="仿宋_GB2312"/>
          <w:color w:val="000000"/>
          <w:kern w:val="0"/>
          <w:sz w:val="31"/>
          <w:szCs w:val="31"/>
          <w:lang w:val="en-US" w:eastAsia="zh-CN" w:bidi="ar"/>
        </w:rPr>
        <w:t>项目实施单位</w:t>
      </w:r>
      <w:r>
        <w:rPr>
          <w:rFonts w:ascii="仿宋_GB2312" w:hAnsi="宋体" w:eastAsia="仿宋_GB2312" w:cs="仿宋_GB2312"/>
          <w:color w:val="000000"/>
          <w:kern w:val="0"/>
          <w:sz w:val="31"/>
          <w:szCs w:val="31"/>
          <w:lang w:val="en-US" w:eastAsia="zh-CN" w:bidi="ar"/>
        </w:rPr>
        <w:t>严格按照《海南省扶贫工作办公</w:t>
      </w:r>
      <w:r>
        <w:rPr>
          <w:rFonts w:hint="eastAsia" w:ascii="仿宋_GB2312" w:eastAsia="仿宋_GB2312" w:cs="仿宋_GB2312"/>
          <w:color w:val="000000"/>
          <w:sz w:val="31"/>
          <w:szCs w:val="31"/>
        </w:rPr>
        <w:t>室海南省财政厅关于完善扶贫资金项目公告公示制度实施办法》（琼扶办发〔</w:t>
      </w:r>
      <w:r>
        <w:rPr>
          <w:rFonts w:hint="default" w:ascii="Times New Roman" w:hAnsi="Times New Roman" w:cs="Times New Roman"/>
          <w:color w:val="000000"/>
          <w:sz w:val="31"/>
          <w:szCs w:val="31"/>
        </w:rPr>
        <w:t>2018</w:t>
      </w:r>
      <w:r>
        <w:rPr>
          <w:rFonts w:hint="eastAsia" w:ascii="仿宋_GB2312" w:eastAsia="仿宋_GB2312" w:cs="仿宋_GB2312"/>
          <w:color w:val="000000"/>
          <w:sz w:val="31"/>
          <w:szCs w:val="31"/>
        </w:rPr>
        <w:t>〕</w:t>
      </w:r>
      <w:r>
        <w:rPr>
          <w:rFonts w:hint="default" w:ascii="Times New Roman" w:hAnsi="Times New Roman" w:cs="Times New Roman"/>
          <w:color w:val="000000"/>
          <w:sz w:val="31"/>
          <w:szCs w:val="31"/>
        </w:rPr>
        <w:t>184</w:t>
      </w:r>
      <w:r>
        <w:rPr>
          <w:rFonts w:hint="eastAsia" w:ascii="仿宋_GB2312" w:eastAsia="仿宋_GB2312" w:cs="仿宋_GB2312"/>
          <w:color w:val="000000"/>
          <w:sz w:val="31"/>
          <w:szCs w:val="31"/>
        </w:rPr>
        <w:t>号）要求，全面落实资金项目公告公示制度，进行区、村和项目现场公告公示，提前做好项目开工工作。衔接项目实施单位要及时编制项目实施方案，对项目实施的各个环节资料要及时收集，要做好项目档案的归档管理工作，确保项目归档资料能准确地反映项目建设的全过程。</w:t>
      </w: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jc w:val="both"/>
        <w:textAlignment w:val="auto"/>
        <w:rPr>
          <w:rFonts w:hint="eastAsia" w:ascii="仿宋_GB2312" w:eastAsia="仿宋_GB2312" w:cs="仿宋_GB2312"/>
          <w:color w:val="000000"/>
          <w:sz w:val="31"/>
          <w:szCs w:val="31"/>
          <w:lang w:eastAsia="zh-CN"/>
        </w:rPr>
      </w:pPr>
      <w:r>
        <w:rPr>
          <w:rFonts w:hint="eastAsia" w:ascii="仿宋_GB2312" w:eastAsia="仿宋_GB2312" w:cs="仿宋_GB2312"/>
          <w:color w:val="000000"/>
          <w:sz w:val="31"/>
          <w:szCs w:val="31"/>
          <w:lang w:eastAsia="zh-CN"/>
        </w:rPr>
        <w:t>特此通知。</w:t>
      </w:r>
    </w:p>
    <w:p>
      <w:pPr>
        <w:pageBreakBefore w:val="0"/>
        <w:widowControl w:val="0"/>
        <w:numPr>
          <w:ilvl w:val="0"/>
          <w:numId w:val="0"/>
        </w:numPr>
        <w:kinsoku/>
        <w:wordWrap/>
        <w:overflowPunct/>
        <w:topLinePunct w:val="0"/>
        <w:autoSpaceDE/>
        <w:autoSpaceDN/>
        <w:bidi w:val="0"/>
        <w:adjustRightInd/>
        <w:snapToGrid/>
        <w:spacing w:line="578"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78" w:lineRule="exact"/>
        <w:ind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附件：三亚市天涯区2025年度第二批财政衔接资金安排表</w:t>
      </w:r>
    </w:p>
    <w:p>
      <w:pPr>
        <w:pStyle w:val="2"/>
        <w:pageBreakBefore w:val="0"/>
        <w:widowControl w:val="0"/>
        <w:kinsoku/>
        <w:wordWrap/>
        <w:overflowPunct/>
        <w:topLinePunct w:val="0"/>
        <w:autoSpaceDE/>
        <w:autoSpaceDN/>
        <w:bidi w:val="0"/>
        <w:adjustRightInd/>
        <w:spacing w:before="0" w:after="0" w:line="578" w:lineRule="exact"/>
        <w:ind w:firstLine="643" w:firstLineChars="200"/>
        <w:textAlignment w:val="auto"/>
        <w:rPr>
          <w:rFonts w:hint="default" w:ascii="Times New Roman" w:hAnsi="Times New Roman" w:cs="Times New Roman"/>
          <w:lang w:val="en-US" w:eastAsia="zh-CN"/>
        </w:rPr>
      </w:pPr>
    </w:p>
    <w:p>
      <w:pPr>
        <w:pageBreakBefore w:val="0"/>
        <w:widowControl w:val="0"/>
        <w:kinsoku/>
        <w:wordWrap/>
        <w:overflowPunct/>
        <w:topLinePunct w:val="0"/>
        <w:autoSpaceDE/>
        <w:autoSpaceDN/>
        <w:bidi w:val="0"/>
        <w:spacing w:line="578" w:lineRule="exact"/>
        <w:ind w:firstLine="420" w:firstLineChars="200"/>
        <w:textAlignment w:val="auto"/>
        <w:rPr>
          <w:rFonts w:hint="default"/>
          <w:lang w:val="en-US" w:eastAsia="zh-CN"/>
        </w:rPr>
      </w:pPr>
    </w:p>
    <w:p>
      <w:pPr>
        <w:pStyle w:val="2"/>
        <w:pageBreakBefore w:val="0"/>
        <w:widowControl w:val="0"/>
        <w:kinsoku/>
        <w:wordWrap/>
        <w:overflowPunct/>
        <w:topLinePunct w:val="0"/>
        <w:autoSpaceDE/>
        <w:autoSpaceDN/>
        <w:bidi w:val="0"/>
        <w:adjustRightInd/>
        <w:snapToGrid/>
        <w:spacing w:before="0" w:after="0" w:line="578" w:lineRule="exact"/>
        <w:ind w:left="0" w:leftChars="0"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中共三亚市天涯区委农村工作</w:t>
      </w:r>
    </w:p>
    <w:p>
      <w:pPr>
        <w:pStyle w:val="2"/>
        <w:pageBreakBefore w:val="0"/>
        <w:widowControl w:val="0"/>
        <w:kinsoku/>
        <w:wordWrap/>
        <w:overflowPunct/>
        <w:topLinePunct w:val="0"/>
        <w:autoSpaceDE/>
        <w:autoSpaceDN/>
        <w:bidi w:val="0"/>
        <w:adjustRightInd/>
        <w:snapToGrid/>
        <w:spacing w:before="0" w:after="0" w:line="578" w:lineRule="exact"/>
        <w:ind w:left="0" w:leftChars="0" w:right="0" w:rightChars="0"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领导小组办公室（代）</w:t>
      </w:r>
    </w:p>
    <w:p>
      <w:pPr>
        <w:pageBreakBefore w:val="0"/>
        <w:widowControl w:val="0"/>
        <w:kinsoku/>
        <w:wordWrap/>
        <w:overflowPunct/>
        <w:topLinePunct w:val="0"/>
        <w:autoSpaceDE/>
        <w:autoSpaceDN/>
        <w:bidi w:val="0"/>
        <w:adjustRightInd/>
        <w:spacing w:line="578"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2025年</w:t>
      </w:r>
      <w:r>
        <w:rPr>
          <w:rFonts w:hint="eastAsia" w:ascii="Times New Roman" w:hAnsi="Times New Roman" w:eastAsia="仿宋_GB2312" w:cs="Times New Roman"/>
          <w:b w:val="0"/>
          <w:bCs w:val="0"/>
          <w:sz w:val="32"/>
          <w:szCs w:val="32"/>
          <w:lang w:val="en-US" w:eastAsia="zh-CN"/>
        </w:rPr>
        <w:t>6</w:t>
      </w:r>
      <w:r>
        <w:rPr>
          <w:rFonts w:hint="default" w:ascii="Times New Roman" w:hAnsi="Times New Roman" w:eastAsia="仿宋_GB2312" w:cs="Times New Roman"/>
          <w:b w:val="0"/>
          <w:bCs w:val="0"/>
          <w:sz w:val="32"/>
          <w:szCs w:val="32"/>
          <w:lang w:val="en-US" w:eastAsia="zh-CN"/>
        </w:rPr>
        <w:t>月</w:t>
      </w:r>
      <w:r>
        <w:rPr>
          <w:rFonts w:hint="eastAsia" w:ascii="Times New Roman" w:hAnsi="Times New Roman" w:eastAsia="仿宋_GB2312" w:cs="Times New Roman"/>
          <w:b w:val="0"/>
          <w:bCs w:val="0"/>
          <w:sz w:val="32"/>
          <w:szCs w:val="32"/>
          <w:lang w:val="en-US" w:eastAsia="zh-CN"/>
        </w:rPr>
        <w:t xml:space="preserve">  </w:t>
      </w:r>
      <w:bookmarkStart w:id="0" w:name="_GoBack"/>
      <w:bookmarkEnd w:id="0"/>
      <w:r>
        <w:rPr>
          <w:rFonts w:hint="default" w:ascii="Times New Roman" w:hAnsi="Times New Roman" w:eastAsia="仿宋_GB2312" w:cs="Times New Roman"/>
          <w:b w:val="0"/>
          <w:bCs w:val="0"/>
          <w:sz w:val="32"/>
          <w:szCs w:val="32"/>
          <w:lang w:val="en-US" w:eastAsia="zh-CN"/>
        </w:rPr>
        <w:t>日</w:t>
      </w:r>
    </w:p>
    <w:p>
      <w:pPr>
        <w:pStyle w:val="3"/>
        <w:pageBreakBefore w:val="0"/>
        <w:widowControl w:val="0"/>
        <w:kinsoku/>
        <w:wordWrap/>
        <w:overflowPunct/>
        <w:topLinePunct w:val="0"/>
        <w:autoSpaceDE/>
        <w:autoSpaceDN/>
        <w:bidi w:val="0"/>
        <w:spacing w:line="578" w:lineRule="exact"/>
        <w:ind w:firstLine="640" w:firstLineChars="200"/>
        <w:textAlignment w:val="auto"/>
        <w:rPr>
          <w:rFonts w:hint="default" w:ascii="Times New Roman" w:hAnsi="Times New Roman" w:eastAsia="仿宋_GB2312" w:cs="Times New Roman"/>
          <w:b w:val="0"/>
          <w:bCs w:val="0"/>
          <w:sz w:val="32"/>
          <w:szCs w:val="32"/>
          <w:lang w:val="en-US" w:eastAsia="zh-CN"/>
        </w:rPr>
      </w:pPr>
    </w:p>
    <w:p>
      <w:pPr>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w:t>
      </w:r>
      <w:r>
        <w:rPr>
          <w:rFonts w:hint="eastAsia" w:ascii="Times New Roman" w:hAnsi="Times New Roman" w:eastAsia="仿宋_GB2312" w:cs="Times New Roman"/>
          <w:sz w:val="32"/>
          <w:szCs w:val="32"/>
          <w:lang w:val="en-US" w:eastAsia="zh-CN"/>
        </w:rPr>
        <w:t>林如金，</w:t>
      </w:r>
      <w:r>
        <w:rPr>
          <w:rFonts w:hint="default" w:ascii="Times New Roman" w:hAnsi="Times New Roman" w:eastAsia="仿宋_GB2312" w:cs="Times New Roman"/>
          <w:sz w:val="32"/>
          <w:szCs w:val="32"/>
          <w:lang w:val="en-US" w:eastAsia="zh-CN"/>
        </w:rPr>
        <w:t>联系</w:t>
      </w:r>
      <w:r>
        <w:rPr>
          <w:rFonts w:hint="eastAsia" w:ascii="Times New Roman" w:hAnsi="Times New Roman" w:eastAsia="仿宋_GB2312" w:cs="Times New Roman"/>
          <w:sz w:val="32"/>
          <w:szCs w:val="32"/>
          <w:lang w:val="en-US" w:eastAsia="zh-CN"/>
        </w:rPr>
        <w:t>电话</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88911870</w:t>
      </w:r>
      <w:r>
        <w:rPr>
          <w:rFonts w:hint="default" w:ascii="Times New Roman" w:hAnsi="Times New Roman" w:eastAsia="仿宋_GB2312" w:cs="Times New Roman"/>
          <w:sz w:val="32"/>
          <w:szCs w:val="32"/>
          <w:lang w:val="en-US" w:eastAsia="zh-CN"/>
        </w:rPr>
        <w:t>）</w:t>
      </w:r>
    </w:p>
    <w:p>
      <w:pPr>
        <w:widowControl w:val="0"/>
        <w:wordWrap/>
        <w:adjustRightInd/>
        <w:snapToGrid/>
        <w:spacing w:line="578"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（此件主动公开）</w:t>
      </w:r>
    </w:p>
    <w:p>
      <w:pPr>
        <w:pStyle w:val="2"/>
        <w:rPr>
          <w:rFonts w:hint="default" w:ascii="Times New Roman" w:hAnsi="Times New Roman" w:eastAsia="仿宋_GB2312" w:cs="Times New Roman"/>
          <w:sz w:val="32"/>
          <w:szCs w:val="32"/>
          <w:lang w:val="en-US" w:eastAsia="zh-CN"/>
        </w:rPr>
      </w:pPr>
    </w:p>
    <w:p>
      <w:pPr>
        <w:rPr>
          <w:rFonts w:hint="default" w:ascii="Times New Roman" w:hAnsi="Times New Roman" w:eastAsia="仿宋_GB2312" w:cs="Times New Roman"/>
          <w:sz w:val="32"/>
          <w:szCs w:val="32"/>
          <w:lang w:val="en-US" w:eastAsia="zh-CN"/>
        </w:rPr>
      </w:pPr>
    </w:p>
    <w:p>
      <w:pPr>
        <w:pStyle w:val="2"/>
        <w:rPr>
          <w:rFonts w:hint="default"/>
          <w:lang w:val="en-US" w:eastAsia="zh-CN"/>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textAlignment w:val="auto"/>
        <w:rPr>
          <w:rFonts w:hint="default" w:ascii="Times New Roman" w:hAnsi="Times New Roman" w:eastAsia="仿宋_GB2312" w:cs="Times New Roman"/>
          <w:color w:val="000000"/>
          <w:sz w:val="32"/>
          <w:szCs w:val="32"/>
          <w:lang w:eastAsia="zh-CN"/>
        </w:rPr>
      </w:pPr>
    </w:p>
    <w:p>
      <w:pPr>
        <w:pStyle w:val="4"/>
        <w:keepNext w:val="0"/>
        <w:keepLines w:val="0"/>
        <w:pageBreakBefore w:val="0"/>
        <w:widowControl/>
        <w:suppressLineNumbers w:val="0"/>
        <w:kinsoku/>
        <w:wordWrap/>
        <w:overflowPunct/>
        <w:topLinePunct w:val="0"/>
        <w:autoSpaceDE/>
        <w:autoSpaceDN/>
        <w:bidi w:val="0"/>
        <w:adjustRightInd/>
        <w:snapToGrid/>
        <w:spacing w:line="578" w:lineRule="exact"/>
        <w:ind w:left="0" w:firstLine="640"/>
        <w:textAlignment w:val="auto"/>
        <w:rPr>
          <w:rFonts w:hint="eastAsia" w:ascii="仿宋_GB2312" w:eastAsia="仿宋_GB2312" w:cs="仿宋_GB2312"/>
          <w:color w:val="000000"/>
          <w:sz w:val="31"/>
          <w:szCs w:val="31"/>
        </w:rPr>
      </w:pPr>
    </w:p>
    <w:tbl>
      <w:tblPr>
        <w:tblStyle w:val="6"/>
        <w:tblpPr w:leftFromText="180" w:rightFromText="180" w:vertAnchor="text" w:horzAnchor="page" w:tblpX="1510" w:tblpY="6815"/>
        <w:tblOverlap w:val="never"/>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61" w:type="dxa"/>
            <w:tcBorders>
              <w:left w:val="nil"/>
              <w:right w:val="nil"/>
            </w:tcBorders>
            <w:noWrap w:val="0"/>
            <w:vAlign w:val="top"/>
          </w:tcPr>
          <w:p>
            <w:pPr>
              <w:pageBreakBefore w:val="0"/>
              <w:widowControl w:val="0"/>
              <w:kinsoku/>
              <w:wordWrap/>
              <w:overflowPunct/>
              <w:topLinePunct w:val="0"/>
              <w:autoSpaceDE/>
              <w:autoSpaceDN/>
              <w:bidi w:val="0"/>
              <w:adjustRightInd/>
              <w:snapToGrid/>
              <w:spacing w:beforeAutospacing="0" w:afterAutospacing="0" w:line="578" w:lineRule="exact"/>
              <w:ind w:right="0"/>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w w:val="100"/>
                <w:sz w:val="28"/>
                <w:szCs w:val="28"/>
                <w:lang w:val="en-US" w:eastAsia="zh-CN"/>
              </w:rPr>
              <w:t xml:space="preserve"> 中共三亚市天涯区委农村工作领导小组办公室</w:t>
            </w:r>
            <w:r>
              <w:rPr>
                <w:rFonts w:hint="default" w:ascii="Times New Roman" w:hAnsi="Times New Roman" w:eastAsia="仿宋_GB2312" w:cs="Times New Roman"/>
                <w:sz w:val="28"/>
                <w:szCs w:val="28"/>
                <w:lang w:val="en-US" w:eastAsia="zh-CN"/>
              </w:rPr>
              <w:t xml:space="preserve">  2025年</w:t>
            </w:r>
            <w:r>
              <w:rPr>
                <w:rFonts w:hint="eastAsia" w:ascii="Times New Roman" w:hAnsi="Times New Roman" w:eastAsia="仿宋_GB2312" w:cs="Times New Roman"/>
                <w:sz w:val="28"/>
                <w:szCs w:val="28"/>
                <w:lang w:val="en-US" w:eastAsia="zh-CN"/>
              </w:rPr>
              <w:t>6</w:t>
            </w:r>
            <w:r>
              <w:rPr>
                <w:rFonts w:hint="default" w:ascii="Times New Roman" w:hAnsi="Times New Roman" w:eastAsia="仿宋_GB2312" w:cs="Times New Roman"/>
                <w:sz w:val="28"/>
                <w:szCs w:val="28"/>
                <w:lang w:val="en-US" w:eastAsia="zh-CN"/>
              </w:rPr>
              <w:t>月</w:t>
            </w:r>
            <w:r>
              <w:rPr>
                <w:rFonts w:hint="eastAsia"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sz w:val="28"/>
                <w:szCs w:val="28"/>
                <w:lang w:val="en-US" w:eastAsia="zh-CN"/>
              </w:rPr>
              <w:t>日印发</w:t>
            </w:r>
          </w:p>
        </w:tc>
      </w:tr>
    </w:tbl>
    <w:p>
      <w:pPr>
        <w:keepNext w:val="0"/>
        <w:keepLines w:val="0"/>
        <w:pageBreakBefore w:val="0"/>
        <w:kinsoku/>
        <w:wordWrap/>
        <w:overflowPunct/>
        <w:topLinePunct w:val="0"/>
        <w:autoSpaceDE/>
        <w:autoSpaceDN/>
        <w:bidi w:val="0"/>
        <w:adjustRightInd/>
        <w:snapToGrid/>
        <w:spacing w:line="578" w:lineRule="exact"/>
        <w:textAlignment w:val="auto"/>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77B27"/>
    <w:rsid w:val="2FE42BDB"/>
    <w:rsid w:val="40EC4EAA"/>
    <w:rsid w:val="51407007"/>
    <w:rsid w:val="57232168"/>
    <w:rsid w:val="5B8A6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cs="Times New Roman"/>
      <w:b/>
      <w:bCs/>
      <w:sz w:val="32"/>
      <w:szCs w:val="32"/>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toa heading"/>
    <w:basedOn w:val="1"/>
    <w:next w:val="1"/>
    <w:qFormat/>
    <w:uiPriority w:val="0"/>
    <w:pPr>
      <w:spacing w:before="120" w:beforeLines="0" w:beforeAutospacing="0"/>
    </w:pPr>
    <w:rPr>
      <w:rFonts w:ascii="Arial" w:hAnsi="Arial"/>
      <w:sz w:val="24"/>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2025-07-14T07:20:00Z</dcterms:created>
  <dc:creator>Administrator</dc:creator>
  <cp:lastModifiedBy>HUAWEI</cp:lastModifiedBy>
  <dcterms:modified xsi:type="dcterms:W3CDTF">2025-07-15T02:28:07Z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