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_GBK" w:hAnsi="方正小标宋_GBK" w:eastAsia="方正小标宋_GBK" w:cs="方正小标宋_GBK"/>
          <w:snapToGrid w:val="0"/>
          <w:w w:val="96"/>
          <w:kern w:val="0"/>
          <w:sz w:val="44"/>
          <w:szCs w:val="44"/>
          <w:lang w:val="en-US" w:eastAsia="zh-CN" w:bidi="ar-SA"/>
        </w:rPr>
      </w:pPr>
    </w:p>
    <w:p>
      <w:pPr>
        <w:pStyle w:val="2"/>
        <w:pageBreakBefore w:val="0"/>
        <w:widowControl w:val="0"/>
        <w:kinsoku/>
        <w:wordWrap/>
        <w:overflowPunct/>
        <w:topLinePunct w:val="0"/>
        <w:autoSpaceDE/>
        <w:autoSpaceDN/>
        <w:bidi w:val="0"/>
        <w:adjustRightInd/>
        <w:snapToGrid/>
        <w:spacing w:before="0" w:after="0" w:line="578" w:lineRule="exact"/>
        <w:textAlignment w:val="auto"/>
        <w:rPr>
          <w:rFonts w:hint="eastAsia" w:ascii="方正小标宋_GBK" w:hAnsi="方正小标宋_GBK" w:eastAsia="方正小标宋_GBK" w:cs="方正小标宋_GBK"/>
          <w:snapToGrid w:val="0"/>
          <w:w w:val="96"/>
          <w:kern w:val="0"/>
          <w:sz w:val="44"/>
          <w:szCs w:val="44"/>
          <w:lang w:val="en-US" w:eastAsia="zh-CN" w:bidi="ar-SA"/>
        </w:rPr>
      </w:pPr>
    </w:p>
    <w:p>
      <w:pPr>
        <w:pageBreakBefore w:val="0"/>
        <w:widowControl w:val="0"/>
        <w:kinsoku/>
        <w:wordWrap/>
        <w:overflowPunct/>
        <w:topLinePunct w:val="0"/>
        <w:autoSpaceDE/>
        <w:autoSpaceDN/>
        <w:bidi w:val="0"/>
        <w:adjustRightInd/>
        <w:snapToGrid/>
        <w:spacing w:line="578" w:lineRule="exact"/>
        <w:textAlignment w:val="auto"/>
        <w:rPr>
          <w:rFonts w:hint="eastAsia" w:ascii="方正小标宋_GBK" w:hAnsi="方正小标宋_GBK" w:eastAsia="方正小标宋_GBK" w:cs="方正小标宋_GBK"/>
          <w:snapToGrid w:val="0"/>
          <w:w w:val="96"/>
          <w:kern w:val="0"/>
          <w:sz w:val="44"/>
          <w:szCs w:val="44"/>
          <w:lang w:val="en-US" w:eastAsia="zh-CN" w:bidi="ar-SA"/>
        </w:rPr>
      </w:pPr>
    </w:p>
    <w:p>
      <w:pPr>
        <w:pStyle w:val="2"/>
        <w:pageBreakBefore w:val="0"/>
        <w:widowControl w:val="0"/>
        <w:kinsoku/>
        <w:wordWrap/>
        <w:overflowPunct/>
        <w:topLinePunct w:val="0"/>
        <w:autoSpaceDE/>
        <w:autoSpaceDN/>
        <w:bidi w:val="0"/>
        <w:adjustRightInd/>
        <w:snapToGrid/>
        <w:spacing w:before="0" w:after="0" w:line="578" w:lineRule="exact"/>
        <w:textAlignment w:val="auto"/>
        <w:rPr>
          <w:rFonts w:hint="eastAsia" w:ascii="方正小标宋_GBK" w:hAnsi="方正小标宋_GBK" w:eastAsia="方正小标宋_GBK" w:cs="方正小标宋_GBK"/>
          <w:snapToGrid w:val="0"/>
          <w:w w:val="96"/>
          <w:kern w:val="0"/>
          <w:sz w:val="44"/>
          <w:szCs w:val="44"/>
          <w:lang w:val="en-US" w:eastAsia="zh-CN" w:bidi="ar-SA"/>
        </w:rPr>
      </w:pPr>
    </w:p>
    <w:p>
      <w:pPr>
        <w:pageBreakBefore w:val="0"/>
        <w:widowControl w:val="0"/>
        <w:kinsoku/>
        <w:wordWrap/>
        <w:overflowPunct/>
        <w:topLinePunct w:val="0"/>
        <w:autoSpaceDE/>
        <w:autoSpaceDN/>
        <w:bidi w:val="0"/>
        <w:adjustRightInd/>
        <w:snapToGrid/>
        <w:spacing w:line="578" w:lineRule="exact"/>
        <w:textAlignment w:val="auto"/>
        <w:rPr>
          <w:rFonts w:hint="eastAsia" w:ascii="方正小标宋_GBK" w:hAnsi="方正小标宋_GBK" w:eastAsia="方正小标宋_GBK" w:cs="方正小标宋_GBK"/>
          <w:snapToGrid w:val="0"/>
          <w:w w:val="96"/>
          <w:kern w:val="0"/>
          <w:sz w:val="44"/>
          <w:szCs w:val="44"/>
          <w:lang w:val="en-US" w:eastAsia="zh-CN" w:bidi="ar-SA"/>
        </w:rPr>
      </w:pPr>
    </w:p>
    <w:p>
      <w:pPr>
        <w:pStyle w:val="2"/>
        <w:pageBreakBefore w:val="0"/>
        <w:widowControl w:val="0"/>
        <w:kinsoku/>
        <w:wordWrap/>
        <w:overflowPunct/>
        <w:topLinePunct w:val="0"/>
        <w:autoSpaceDE/>
        <w:autoSpaceDN/>
        <w:bidi w:val="0"/>
        <w:adjustRightInd/>
        <w:snapToGrid/>
        <w:spacing w:before="0" w:after="0" w:line="578" w:lineRule="exact"/>
        <w:jc w:val="center"/>
        <w:textAlignment w:val="auto"/>
        <w:rPr>
          <w:rFonts w:hint="eastAsia" w:ascii="方正小标宋_GBK" w:hAnsi="方正小标宋_GBK" w:eastAsia="方正小标宋_GBK" w:cs="方正小标宋_GBK"/>
          <w:snapToGrid w:val="0"/>
          <w:w w:val="96"/>
          <w:kern w:val="0"/>
          <w:sz w:val="44"/>
          <w:szCs w:val="44"/>
          <w:lang w:val="en-US" w:eastAsia="zh-CN" w:bidi="ar-SA"/>
        </w:rPr>
      </w:pPr>
      <w:r>
        <w:rPr>
          <w:rFonts w:ascii="宋体" w:hAnsi="宋体" w:eastAsia="宋体" w:cs="宋体"/>
          <w:b w:val="0"/>
          <w:i w:val="0"/>
          <w:caps w:val="0"/>
          <w:color w:val="000000"/>
          <w:spacing w:val="0"/>
          <w:sz w:val="27"/>
          <w:szCs w:val="27"/>
        </w:rPr>
        <w:t>天委农办〔2025〕</w:t>
      </w:r>
      <w:r>
        <w:rPr>
          <w:rFonts w:hint="eastAsia" w:ascii="宋体" w:hAnsi="宋体" w:eastAsia="宋体" w:cs="宋体"/>
          <w:b w:val="0"/>
          <w:i w:val="0"/>
          <w:caps w:val="0"/>
          <w:color w:val="000000"/>
          <w:spacing w:val="0"/>
          <w:sz w:val="27"/>
          <w:szCs w:val="27"/>
          <w:lang w:val="en-US" w:eastAsia="zh-CN"/>
        </w:rPr>
        <w:t xml:space="preserve"> </w:t>
      </w:r>
      <w:r>
        <w:rPr>
          <w:rFonts w:ascii="宋体" w:hAnsi="宋体" w:eastAsia="宋体" w:cs="宋体"/>
          <w:b w:val="0"/>
          <w:i w:val="0"/>
          <w:caps w:val="0"/>
          <w:color w:val="000000"/>
          <w:spacing w:val="0"/>
          <w:sz w:val="27"/>
          <w:szCs w:val="27"/>
        </w:rPr>
        <w:t xml:space="preserve"> </w:t>
      </w:r>
      <w:r>
        <w:rPr>
          <w:rFonts w:hint="eastAsia" w:ascii="宋体" w:hAnsi="宋体" w:eastAsia="宋体" w:cs="宋体"/>
          <w:b w:val="0"/>
          <w:i w:val="0"/>
          <w:caps w:val="0"/>
          <w:color w:val="000000"/>
          <w:spacing w:val="0"/>
          <w:sz w:val="27"/>
          <w:szCs w:val="27"/>
          <w:lang w:eastAsia="zh-CN"/>
        </w:rPr>
        <w:t>号</w:t>
      </w:r>
      <w:bookmarkStart w:id="0" w:name="_GoBack"/>
      <w:bookmarkEnd w:id="0"/>
    </w:p>
    <w:p>
      <w:pPr>
        <w:pageBreakBefore w:val="0"/>
        <w:widowControl w:val="0"/>
        <w:kinsoku/>
        <w:wordWrap/>
        <w:overflowPunct/>
        <w:topLinePunct w:val="0"/>
        <w:autoSpaceDE/>
        <w:autoSpaceDN/>
        <w:bidi w:val="0"/>
        <w:adjustRightInd/>
        <w:snapToGrid/>
        <w:spacing w:line="578" w:lineRule="exact"/>
        <w:textAlignment w:val="auto"/>
        <w:rPr>
          <w:rFonts w:hint="eastAsia"/>
          <w:lang w:val="en-US" w:eastAsia="zh-CN"/>
        </w:rPr>
      </w:pPr>
    </w:p>
    <w:p>
      <w:pPr>
        <w:spacing w:line="578" w:lineRule="exact"/>
        <w:jc w:val="center"/>
        <w:rPr>
          <w:rFonts w:hint="eastAsia" w:ascii="方正小标宋_GBK" w:hAnsi="方正小标宋_GBK" w:eastAsia="方正小标宋_GBK" w:cs="方正小标宋_GBK"/>
          <w:snapToGrid w:val="0"/>
          <w:w w:val="96"/>
          <w:kern w:val="0"/>
          <w:sz w:val="44"/>
          <w:szCs w:val="44"/>
          <w:lang w:val="en-US" w:eastAsia="zh-CN" w:bidi="ar-SA"/>
        </w:rPr>
      </w:pPr>
      <w:r>
        <w:rPr>
          <w:rFonts w:hint="eastAsia" w:ascii="方正小标宋_GBK" w:hAnsi="方正小标宋_GBK" w:eastAsia="方正小标宋_GBK" w:cs="方正小标宋_GBK"/>
          <w:snapToGrid w:val="0"/>
          <w:w w:val="96"/>
          <w:kern w:val="0"/>
          <w:sz w:val="44"/>
          <w:szCs w:val="44"/>
          <w:lang w:val="en-US" w:eastAsia="zh-CN" w:bidi="ar-SA"/>
        </w:rPr>
        <w:t>中共三亚市天涯区委农村工作领导小组办公室</w:t>
      </w:r>
    </w:p>
    <w:p>
      <w:pPr>
        <w:spacing w:line="578" w:lineRule="exact"/>
        <w:jc w:val="center"/>
        <w:rPr>
          <w:rFonts w:hint="eastAsia" w:ascii="方正小标宋_GBK" w:hAnsi="方正小标宋_GBK" w:eastAsia="方正小标宋_GBK" w:cs="方正小标宋_GBK"/>
          <w:snapToGrid w:val="0"/>
          <w:w w:val="96"/>
          <w:kern w:val="0"/>
          <w:sz w:val="44"/>
          <w:szCs w:val="44"/>
          <w:lang w:val="en-US" w:eastAsia="zh-CN" w:bidi="ar-SA"/>
        </w:rPr>
      </w:pPr>
      <w:r>
        <w:rPr>
          <w:rFonts w:hint="eastAsia" w:ascii="方正小标宋_GBK" w:hAnsi="方正小标宋_GBK" w:eastAsia="方正小标宋_GBK" w:cs="方正小标宋_GBK"/>
          <w:snapToGrid w:val="0"/>
          <w:w w:val="96"/>
          <w:kern w:val="0"/>
          <w:sz w:val="44"/>
          <w:szCs w:val="44"/>
          <w:lang w:val="en-US" w:eastAsia="zh-CN" w:bidi="ar-SA"/>
        </w:rPr>
        <w:t>关于天涯区2025年度提前批财政衔接资金</w:t>
      </w:r>
    </w:p>
    <w:p>
      <w:pPr>
        <w:spacing w:line="578" w:lineRule="exact"/>
        <w:jc w:val="center"/>
        <w:rPr>
          <w:rFonts w:hint="eastAsia" w:ascii="方正小标宋_GBK" w:hAnsi="方正小标宋_GBK" w:eastAsia="方正小标宋_GBK" w:cs="方正小标宋_GBK"/>
          <w:snapToGrid w:val="0"/>
          <w:w w:val="96"/>
          <w:kern w:val="0"/>
          <w:sz w:val="44"/>
          <w:szCs w:val="44"/>
          <w:lang w:val="en-US" w:eastAsia="zh-CN" w:bidi="ar-SA"/>
        </w:rPr>
      </w:pPr>
      <w:r>
        <w:rPr>
          <w:rFonts w:hint="eastAsia" w:ascii="方正小标宋_GBK" w:hAnsi="方正小标宋_GBK" w:eastAsia="方正小标宋_GBK" w:cs="方正小标宋_GBK"/>
          <w:snapToGrid w:val="0"/>
          <w:w w:val="96"/>
          <w:kern w:val="0"/>
          <w:sz w:val="44"/>
          <w:szCs w:val="44"/>
          <w:lang w:val="en-US" w:eastAsia="zh-CN" w:bidi="ar-SA"/>
        </w:rPr>
        <w:t>调整的通知</w:t>
      </w:r>
    </w:p>
    <w:p>
      <w:pPr>
        <w:widowControl w:val="0"/>
        <w:wordWrap/>
        <w:adjustRightInd/>
        <w:snapToGrid/>
        <w:spacing w:line="578" w:lineRule="exact"/>
        <w:ind w:left="0" w:leftChars="0" w:right="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p>
    <w:p>
      <w:pPr>
        <w:widowControl w:val="0"/>
        <w:numPr>
          <w:ilvl w:val="0"/>
          <w:numId w:val="0"/>
        </w:numPr>
        <w:wordWrap/>
        <w:adjustRightInd/>
        <w:snapToGrid/>
        <w:spacing w:line="578" w:lineRule="exact"/>
        <w:ind w:right="0"/>
        <w:jc w:val="both"/>
        <w:textAlignment w:val="auto"/>
        <w:outlineLvl w:val="9"/>
        <w:rPr>
          <w:rFonts w:hint="eastAsia"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区农业农村局、区财政局、区水务林业局：</w:t>
      </w:r>
    </w:p>
    <w:p>
      <w:pPr>
        <w:widowControl w:val="0"/>
        <w:numPr>
          <w:ilvl w:val="0"/>
          <w:numId w:val="0"/>
        </w:numPr>
        <w:wordWrap/>
        <w:adjustRightInd/>
        <w:snapToGrid/>
        <w:spacing w:line="578" w:lineRule="exact"/>
        <w:ind w:left="0" w:leftChars="0" w:right="0" w:firstLine="640" w:firstLineChars="200"/>
        <w:jc w:val="both"/>
        <w:textAlignment w:val="auto"/>
        <w:outlineLvl w:val="9"/>
        <w:rPr>
          <w:rFonts w:hint="eastAsia"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为提高衔接资金使用效益</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加快衔接资金支出进度，</w:t>
      </w:r>
      <w:r>
        <w:rPr>
          <w:rFonts w:hint="default" w:ascii="Times New Roman" w:hAnsi="Times New Roman" w:eastAsia="仿宋_GB2312" w:cs="Times New Roman"/>
          <w:color w:val="auto"/>
          <w:sz w:val="32"/>
          <w:szCs w:val="32"/>
          <w:lang w:val="en-US" w:eastAsia="zh-CN"/>
        </w:rPr>
        <w:t>根据省级</w:t>
      </w:r>
      <w:r>
        <w:rPr>
          <w:rFonts w:hint="eastAsia" w:eastAsia="仿宋_GB2312" w:cs="Times New Roman"/>
          <w:color w:val="auto"/>
          <w:sz w:val="32"/>
          <w:szCs w:val="32"/>
          <w:lang w:val="en-US" w:eastAsia="zh-CN"/>
        </w:rPr>
        <w:t>、市级</w:t>
      </w:r>
      <w:r>
        <w:rPr>
          <w:rFonts w:hint="default" w:ascii="Times New Roman" w:hAnsi="Times New Roman" w:eastAsia="仿宋_GB2312" w:cs="Times New Roman"/>
          <w:color w:val="auto"/>
          <w:sz w:val="32"/>
          <w:szCs w:val="32"/>
          <w:lang w:val="en-US" w:eastAsia="zh-CN"/>
        </w:rPr>
        <w:t>财政衔接推进乡村振兴补助资金管理办法</w:t>
      </w:r>
      <w:r>
        <w:rPr>
          <w:rFonts w:hint="eastAsia" w:eastAsia="仿宋_GB2312" w:cs="Times New Roman"/>
          <w:color w:val="auto"/>
          <w:sz w:val="32"/>
          <w:szCs w:val="32"/>
          <w:lang w:val="en-US" w:eastAsia="zh-CN"/>
        </w:rPr>
        <w:t>及其补充通知</w:t>
      </w:r>
      <w:r>
        <w:rPr>
          <w:rFonts w:hint="default" w:ascii="Times New Roman" w:hAnsi="Times New Roman" w:eastAsia="仿宋_GB2312" w:cs="Times New Roman"/>
          <w:color w:val="auto"/>
          <w:sz w:val="32"/>
          <w:szCs w:val="32"/>
          <w:lang w:val="en-US" w:eastAsia="zh-CN"/>
        </w:rPr>
        <w:t>有关</w:t>
      </w:r>
      <w:r>
        <w:rPr>
          <w:rFonts w:hint="eastAsia" w:eastAsia="仿宋_GB2312" w:cs="Times New Roman"/>
          <w:color w:val="auto"/>
          <w:sz w:val="32"/>
          <w:szCs w:val="32"/>
          <w:lang w:val="en-US" w:eastAsia="zh-CN"/>
        </w:rPr>
        <w:t>要求</w:t>
      </w:r>
      <w:r>
        <w:rPr>
          <w:rFonts w:hint="default" w:ascii="Times New Roman" w:hAnsi="Times New Roman" w:eastAsia="仿宋_GB2312" w:cs="Times New Roman"/>
          <w:snapToGrid w:val="0"/>
          <w:color w:val="auto"/>
          <w:kern w:val="0"/>
          <w:sz w:val="32"/>
          <w:szCs w:val="32"/>
          <w:lang w:eastAsia="zh-CN"/>
        </w:rPr>
        <w:t>，</w:t>
      </w:r>
      <w:r>
        <w:rPr>
          <w:rFonts w:hint="eastAsia" w:eastAsia="仿宋_GB2312" w:cs="Times New Roman"/>
          <w:snapToGrid w:val="0"/>
          <w:color w:val="auto"/>
          <w:kern w:val="0"/>
          <w:sz w:val="32"/>
          <w:szCs w:val="32"/>
          <w:lang w:val="en-US" w:eastAsia="zh-CN"/>
        </w:rPr>
        <w:t>经中共三亚市天涯区委农村工作领导小组第3次会议审议通过，将2025年提前批财政衔接资金15万元</w:t>
      </w:r>
      <w:r>
        <w:rPr>
          <w:rFonts w:hint="default" w:ascii="Times New Roman" w:hAnsi="Times New Roman" w:eastAsia="仿宋_GB2312" w:cs="Times New Roman"/>
          <w:color w:val="auto"/>
          <w:sz w:val="32"/>
          <w:szCs w:val="32"/>
          <w:lang w:val="en-US" w:eastAsia="zh-CN"/>
        </w:rPr>
        <w:t>调整</w:t>
      </w:r>
      <w:r>
        <w:rPr>
          <w:rFonts w:hint="eastAsia" w:eastAsia="仿宋_GB2312" w:cs="Times New Roman"/>
          <w:color w:val="auto"/>
          <w:sz w:val="32"/>
          <w:szCs w:val="32"/>
          <w:lang w:val="en-US" w:eastAsia="zh-CN"/>
        </w:rPr>
        <w:t>实施项目，具体事项通知如下。</w:t>
      </w:r>
    </w:p>
    <w:p>
      <w:pPr>
        <w:widowControl w:val="0"/>
        <w:numPr>
          <w:ilvl w:val="0"/>
          <w:numId w:val="0"/>
        </w:numPr>
        <w:wordWrap/>
        <w:adjustRightInd/>
        <w:snapToGrid/>
        <w:spacing w:line="578" w:lineRule="exact"/>
        <w:ind w:left="0" w:leftChars="0" w:right="0" w:firstLine="640" w:firstLineChars="200"/>
        <w:jc w:val="both"/>
        <w:textAlignment w:val="auto"/>
        <w:outlineLvl w:val="9"/>
        <w:rPr>
          <w:rFonts w:hint="default" w:ascii="Times New Roman" w:hAnsi="Times New Roman" w:eastAsia="黑体" w:cs="Times New Roman"/>
          <w:b w:val="0"/>
          <w:bCs w:val="0"/>
          <w:color w:val="auto"/>
          <w:sz w:val="32"/>
          <w:szCs w:val="32"/>
          <w:lang w:val="en-US" w:eastAsia="zh-CN"/>
        </w:rPr>
      </w:pPr>
      <w:r>
        <w:rPr>
          <w:rFonts w:hint="eastAsia" w:eastAsia="黑体" w:cs="Times New Roman"/>
          <w:b w:val="0"/>
          <w:bCs w:val="0"/>
          <w:color w:val="auto"/>
          <w:sz w:val="32"/>
          <w:szCs w:val="32"/>
          <w:lang w:val="en-US" w:eastAsia="zh-CN"/>
        </w:rPr>
        <w:t>一</w:t>
      </w:r>
      <w:r>
        <w:rPr>
          <w:rFonts w:hint="default" w:ascii="Times New Roman" w:hAnsi="Times New Roman" w:eastAsia="黑体" w:cs="Times New Roman"/>
          <w:b w:val="0"/>
          <w:bCs w:val="0"/>
          <w:color w:val="auto"/>
          <w:sz w:val="32"/>
          <w:szCs w:val="32"/>
          <w:lang w:val="en-US" w:eastAsia="zh-CN"/>
        </w:rPr>
        <w:t>、资金调整</w:t>
      </w:r>
      <w:r>
        <w:rPr>
          <w:rFonts w:hint="eastAsia" w:eastAsia="黑体" w:cs="Times New Roman"/>
          <w:b w:val="0"/>
          <w:bCs w:val="0"/>
          <w:color w:val="auto"/>
          <w:sz w:val="32"/>
          <w:szCs w:val="32"/>
          <w:lang w:val="en-US" w:eastAsia="zh-CN"/>
        </w:rPr>
        <w:t>范围</w:t>
      </w:r>
    </w:p>
    <w:p>
      <w:pPr>
        <w:widowControl w:val="0"/>
        <w:wordWrap/>
        <w:adjustRightInd/>
        <w:snapToGrid/>
        <w:spacing w:line="578" w:lineRule="exact"/>
        <w:ind w:right="0"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将原安排至</w:t>
      </w:r>
      <w:r>
        <w:rPr>
          <w:rFonts w:hint="default" w:ascii="Times New Roman" w:hAnsi="Times New Roman" w:eastAsia="仿宋_GB2312" w:cs="Times New Roman"/>
          <w:sz w:val="32"/>
          <w:szCs w:val="32"/>
          <w:lang w:val="en-US" w:eastAsia="zh-CN"/>
        </w:rPr>
        <w:t>天涯区立新村委会扎逸小组森林防火巡护车道工程项目</w:t>
      </w:r>
      <w:r>
        <w:rPr>
          <w:rFonts w:hint="eastAsia" w:ascii="Times New Roman" w:hAnsi="Times New Roman" w:eastAsia="仿宋_GB2312" w:cs="Times New Roman"/>
          <w:sz w:val="32"/>
          <w:szCs w:val="32"/>
          <w:lang w:val="en-US" w:eastAsia="zh-CN"/>
        </w:rPr>
        <w:t>的提前批</w:t>
      </w:r>
      <w:r>
        <w:rPr>
          <w:rFonts w:hint="eastAsia" w:eastAsia="仿宋_GB2312" w:cs="Times New Roman"/>
          <w:sz w:val="32"/>
          <w:szCs w:val="32"/>
          <w:lang w:val="en-US" w:eastAsia="zh-CN"/>
        </w:rPr>
        <w:t>中央财政衔接资金160万元调整出15万元</w:t>
      </w:r>
      <w:r>
        <w:rPr>
          <w:rFonts w:hint="default" w:ascii="Times New Roman" w:hAnsi="Times New Roman" w:eastAsia="仿宋_GB2312" w:cs="Times New Roman"/>
          <w:sz w:val="32"/>
          <w:szCs w:val="32"/>
          <w:lang w:val="en-US" w:eastAsia="zh-CN"/>
        </w:rPr>
        <w:t>用于</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亚市天涯区扎南红星村道路建设工程项目</w:t>
      </w:r>
      <w:r>
        <w:rPr>
          <w:rFonts w:hint="eastAsia" w:ascii="Times New Roman" w:hAnsi="Times New Roman" w:eastAsia="仿宋_GB2312" w:cs="Times New Roman"/>
          <w:sz w:val="32"/>
          <w:szCs w:val="32"/>
          <w:lang w:val="en-US" w:eastAsia="zh-CN"/>
        </w:rPr>
        <w:t>实施建设。</w:t>
      </w:r>
    </w:p>
    <w:p>
      <w:pPr>
        <w:widowControl w:val="0"/>
        <w:wordWrap/>
        <w:adjustRightInd/>
        <w:snapToGrid/>
        <w:spacing w:line="578" w:lineRule="exact"/>
        <w:ind w:right="0"/>
        <w:textAlignment w:val="auto"/>
        <w:outlineLvl w:val="9"/>
        <w:rPr>
          <w:rFonts w:hint="default" w:ascii="Times New Roman" w:hAnsi="Times New Roman" w:eastAsia="黑体" w:cs="Times New Roman"/>
          <w:color w:val="auto"/>
          <w:sz w:val="32"/>
          <w:szCs w:val="32"/>
          <w:lang w:val="zh-TW" w:eastAsia="zh-CN"/>
        </w:rPr>
      </w:pPr>
      <w:r>
        <w:rPr>
          <w:rFonts w:hint="eastAsia" w:eastAsia="黑体" w:cs="Times New Roman"/>
          <w:color w:val="auto"/>
          <w:sz w:val="32"/>
          <w:szCs w:val="32"/>
          <w:lang w:val="en-US" w:eastAsia="zh-CN"/>
        </w:rPr>
        <w:t xml:space="preserve">    </w:t>
      </w:r>
      <w:r>
        <w:rPr>
          <w:rFonts w:hint="eastAsia" w:ascii="Times New Roman" w:hAnsi="Times New Roman" w:eastAsia="黑体" w:cs="Times New Roman"/>
          <w:color w:val="auto"/>
          <w:sz w:val="32"/>
          <w:szCs w:val="32"/>
          <w:lang w:val="zh-TW" w:eastAsia="zh-CN"/>
        </w:rPr>
        <w:t>二</w:t>
      </w:r>
      <w:r>
        <w:rPr>
          <w:rFonts w:hint="default" w:ascii="Times New Roman" w:hAnsi="Times New Roman" w:eastAsia="黑体" w:cs="Times New Roman"/>
          <w:color w:val="auto"/>
          <w:sz w:val="32"/>
          <w:szCs w:val="32"/>
          <w:lang w:val="zh-TW" w:eastAsia="zh-TW"/>
        </w:rPr>
        <w:t>、</w:t>
      </w:r>
      <w:r>
        <w:rPr>
          <w:rFonts w:hint="eastAsia" w:eastAsia="黑体" w:cs="Times New Roman"/>
          <w:color w:val="auto"/>
          <w:sz w:val="32"/>
          <w:szCs w:val="32"/>
          <w:lang w:val="en-US" w:eastAsia="zh-CN"/>
        </w:rPr>
        <w:t>相关</w:t>
      </w:r>
      <w:r>
        <w:rPr>
          <w:rFonts w:hint="default" w:ascii="Times New Roman" w:hAnsi="Times New Roman" w:eastAsia="黑体" w:cs="Times New Roman"/>
          <w:color w:val="auto"/>
          <w:sz w:val="32"/>
          <w:szCs w:val="32"/>
          <w:lang w:val="zh-TW" w:eastAsia="zh-CN"/>
        </w:rPr>
        <w:t>工作要求</w:t>
      </w:r>
    </w:p>
    <w:p>
      <w:pPr>
        <w:widowControl w:val="0"/>
        <w:wordWrap/>
        <w:adjustRightInd/>
        <w:snapToGrid/>
        <w:spacing w:line="578" w:lineRule="exact"/>
        <w:ind w:left="0" w:leftChars="0" w:right="0" w:firstLine="645"/>
        <w:textAlignment w:val="auto"/>
        <w:outlineLvl w:val="9"/>
        <w:rPr>
          <w:rFonts w:eastAsia="仿宋_GB2312"/>
          <w:sz w:val="32"/>
          <w:szCs w:val="32"/>
        </w:rPr>
      </w:pPr>
      <w:r>
        <w:rPr>
          <w:rFonts w:eastAsia="楷体_GB2312"/>
          <w:sz w:val="32"/>
          <w:szCs w:val="32"/>
        </w:rPr>
        <w:t>（一）加强组织领导。</w:t>
      </w:r>
      <w:r>
        <w:rPr>
          <w:rFonts w:eastAsia="仿宋_GB2312"/>
          <w:sz w:val="32"/>
          <w:szCs w:val="32"/>
        </w:rPr>
        <w:t>各相关项目实施单位要高度重视，切实加强领导，统一思想认识，以高度负责的精神抓好</w:t>
      </w:r>
      <w:r>
        <w:rPr>
          <w:rFonts w:eastAsia="仿宋_GB2312"/>
          <w:snapToGrid w:val="0"/>
          <w:kern w:val="0"/>
          <w:sz w:val="32"/>
          <w:szCs w:val="32"/>
          <w:lang w:val="zh-TW"/>
        </w:rPr>
        <w:t>财政衔接推进乡村振兴补助资金</w:t>
      </w:r>
      <w:r>
        <w:rPr>
          <w:rFonts w:eastAsia="仿宋_GB2312"/>
          <w:sz w:val="32"/>
          <w:szCs w:val="32"/>
        </w:rPr>
        <w:t>使用管理工作，协同推进，切实提高扶贫项目实施效果和资金使用管理绩效</w:t>
      </w:r>
      <w:r>
        <w:rPr>
          <w:rFonts w:hint="default" w:eastAsia="仿宋_GB2312"/>
          <w:sz w:val="32"/>
          <w:szCs w:val="32"/>
        </w:rPr>
        <w:t>，推动均衡发展</w:t>
      </w:r>
      <w:r>
        <w:rPr>
          <w:rFonts w:eastAsia="仿宋_GB2312"/>
          <w:sz w:val="32"/>
          <w:szCs w:val="32"/>
        </w:rPr>
        <w:t>。项目分管领导和项目负责人要尽职履责，全过程做好项目的规划、筛选、实施、验收监督、管理等工作。</w:t>
      </w:r>
    </w:p>
    <w:p>
      <w:pPr>
        <w:spacing w:line="578" w:lineRule="exact"/>
        <w:rPr>
          <w:rFonts w:eastAsia="仿宋_GB2312"/>
          <w:sz w:val="32"/>
          <w:szCs w:val="32"/>
        </w:rPr>
      </w:pPr>
      <w:r>
        <w:rPr>
          <w:rFonts w:eastAsia="楷体"/>
          <w:b/>
          <w:bCs/>
          <w:sz w:val="32"/>
          <w:szCs w:val="32"/>
        </w:rPr>
        <w:t xml:space="preserve">    </w:t>
      </w:r>
      <w:r>
        <w:rPr>
          <w:rFonts w:eastAsia="楷体_GB2312"/>
          <w:sz w:val="32"/>
          <w:szCs w:val="32"/>
        </w:rPr>
        <w:t>（二）强化资金项目管理。</w:t>
      </w:r>
      <w:r>
        <w:rPr>
          <w:rFonts w:eastAsia="仿宋_GB2312"/>
          <w:sz w:val="32"/>
          <w:szCs w:val="32"/>
        </w:rPr>
        <w:t>严格按照《海南省扶贫工作办公室 海南省财政厅关于完善扶贫资金项目公告公示制度实施办法》（琼扶办发〔2018〕184</w:t>
      </w:r>
      <w:r>
        <w:rPr>
          <w:rFonts w:eastAsia="仿宋_GB2312"/>
          <w:sz w:val="32"/>
          <w:szCs w:val="32"/>
          <w:lang w:val="zh-TW" w:eastAsia="zh-TW"/>
        </w:rPr>
        <w:t>号</w:t>
      </w:r>
      <w:r>
        <w:rPr>
          <w:rFonts w:eastAsia="仿宋_GB2312"/>
          <w:sz w:val="32"/>
          <w:szCs w:val="32"/>
        </w:rPr>
        <w:t>）要求</w:t>
      </w:r>
      <w:r>
        <w:rPr>
          <w:rFonts w:hint="eastAsia" w:eastAsia="仿宋_GB2312"/>
          <w:color w:val="000000"/>
          <w:sz w:val="32"/>
          <w:szCs w:val="32"/>
        </w:rPr>
        <w:t>，全面</w:t>
      </w:r>
      <w:r>
        <w:rPr>
          <w:rFonts w:eastAsia="仿宋_GB2312"/>
          <w:color w:val="000000"/>
          <w:sz w:val="32"/>
          <w:szCs w:val="32"/>
        </w:rPr>
        <w:t>落</w:t>
      </w:r>
      <w:r>
        <w:rPr>
          <w:rFonts w:eastAsia="仿宋_GB2312"/>
          <w:sz w:val="32"/>
          <w:szCs w:val="32"/>
        </w:rPr>
        <w:t>实资金项目公告公示制</w:t>
      </w:r>
      <w:r>
        <w:rPr>
          <w:rFonts w:eastAsia="仿宋_GB2312"/>
          <w:color w:val="000000"/>
          <w:sz w:val="32"/>
          <w:szCs w:val="32"/>
        </w:rPr>
        <w:t>度</w:t>
      </w:r>
      <w:r>
        <w:rPr>
          <w:rFonts w:hint="eastAsia" w:eastAsia="仿宋_GB2312"/>
          <w:color w:val="000000"/>
          <w:sz w:val="32"/>
          <w:szCs w:val="32"/>
          <w:lang w:eastAsia="zh-CN"/>
        </w:rPr>
        <w:t>，</w:t>
      </w:r>
      <w:r>
        <w:rPr>
          <w:rFonts w:hint="eastAsia" w:ascii="Times New Roman" w:hAnsi="Times New Roman" w:eastAsia="仿宋_GB2312" w:cs="Times New Roman"/>
          <w:sz w:val="32"/>
          <w:szCs w:val="32"/>
          <w:lang w:val="en-US" w:eastAsia="zh-CN"/>
        </w:rPr>
        <w:t>进行区、村和项目现场公告公示，</w:t>
      </w:r>
      <w:r>
        <w:rPr>
          <w:rFonts w:hint="default" w:ascii="Times New Roman" w:hAnsi="Times New Roman" w:eastAsia="仿宋_GB2312" w:cs="Times New Roman"/>
          <w:sz w:val="32"/>
          <w:szCs w:val="32"/>
          <w:lang w:eastAsia="zh-CN"/>
        </w:rPr>
        <w:t>提前做好项目</w:t>
      </w:r>
      <w:r>
        <w:rPr>
          <w:rFonts w:hint="eastAsia" w:ascii="Times New Roman" w:hAnsi="Times New Roman" w:eastAsia="仿宋_GB2312" w:cs="Times New Roman"/>
          <w:sz w:val="32"/>
          <w:szCs w:val="32"/>
          <w:lang w:eastAsia="zh-CN"/>
        </w:rPr>
        <w:t>开工</w:t>
      </w:r>
      <w:r>
        <w:rPr>
          <w:rFonts w:hint="default" w:ascii="Times New Roman" w:hAnsi="Times New Roman" w:eastAsia="仿宋_GB2312" w:cs="Times New Roman"/>
          <w:sz w:val="32"/>
          <w:szCs w:val="32"/>
          <w:lang w:eastAsia="zh-CN"/>
        </w:rPr>
        <w:t>工作</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衔接</w:t>
      </w:r>
      <w:r>
        <w:rPr>
          <w:rFonts w:hint="default" w:ascii="Times New Roman" w:hAnsi="Times New Roman" w:eastAsia="仿宋_GB2312" w:cs="Times New Roman"/>
          <w:sz w:val="32"/>
          <w:szCs w:val="32"/>
          <w:lang w:val="en-US" w:eastAsia="zh-CN"/>
        </w:rPr>
        <w:t>项目实施单位</w:t>
      </w:r>
      <w:r>
        <w:rPr>
          <w:rFonts w:hint="default" w:ascii="Times New Roman" w:hAnsi="Times New Roman" w:eastAsia="仿宋_GB2312" w:cs="Times New Roman"/>
          <w:sz w:val="32"/>
          <w:szCs w:val="32"/>
        </w:rPr>
        <w:t>要及时</w:t>
      </w:r>
      <w:r>
        <w:rPr>
          <w:rFonts w:hint="default" w:ascii="Times New Roman" w:hAnsi="Times New Roman" w:eastAsia="仿宋_GB2312" w:cs="Times New Roman"/>
          <w:sz w:val="32"/>
          <w:szCs w:val="32"/>
          <w:lang w:eastAsia="zh-CN"/>
        </w:rPr>
        <w:t>编制项目实施方案</w:t>
      </w:r>
      <w:r>
        <w:rPr>
          <w:rFonts w:hint="eastAsia" w:ascii="Times New Roman" w:hAnsi="Times New Roman" w:eastAsia="仿宋_GB2312" w:cs="Times New Roman"/>
          <w:sz w:val="32"/>
          <w:szCs w:val="32"/>
          <w:lang w:eastAsia="zh-CN"/>
        </w:rPr>
        <w:t>，</w:t>
      </w:r>
      <w:r>
        <w:rPr>
          <w:rFonts w:eastAsia="仿宋_GB2312"/>
          <w:sz w:val="32"/>
          <w:szCs w:val="32"/>
        </w:rPr>
        <w:t>对项目实施的各个环节资料要及时收集，要做好项目档案的归档管理工作，确保项目归档资料能准确地反映项目建设的全过程。</w:t>
      </w:r>
    </w:p>
    <w:p>
      <w:pPr>
        <w:spacing w:line="578" w:lineRule="exact"/>
        <w:rPr>
          <w:rFonts w:eastAsia="仿宋_GB2312"/>
          <w:color w:val="000000"/>
          <w:sz w:val="32"/>
          <w:szCs w:val="32"/>
        </w:rPr>
      </w:pPr>
      <w:r>
        <w:rPr>
          <w:rFonts w:eastAsia="楷体_GB2312"/>
          <w:color w:val="000000"/>
          <w:sz w:val="32"/>
        </w:rPr>
        <w:t xml:space="preserve">    （三）</w:t>
      </w:r>
      <w:r>
        <w:rPr>
          <w:rFonts w:eastAsia="楷体_GB2312"/>
          <w:color w:val="000000"/>
          <w:sz w:val="32"/>
          <w:lang w:val="zh-CN"/>
        </w:rPr>
        <w:t>落实绩效管理工作</w:t>
      </w:r>
      <w:r>
        <w:rPr>
          <w:rFonts w:eastAsia="楷体_GB2312"/>
          <w:sz w:val="32"/>
          <w:szCs w:val="32"/>
        </w:rPr>
        <w:t>。</w:t>
      </w:r>
      <w:r>
        <w:rPr>
          <w:rFonts w:eastAsia="仿宋_GB2312"/>
          <w:color w:val="000000"/>
          <w:sz w:val="32"/>
          <w:lang w:val="zh-CN"/>
        </w:rPr>
        <w:t>严禁将财政衔接推进乡村振兴补助资金用于巩固拓展脱贫攻坚成果和推进乡村产业振兴无关的</w:t>
      </w:r>
      <w:r>
        <w:rPr>
          <w:rFonts w:hint="eastAsia" w:eastAsia="仿宋_GB2312"/>
          <w:color w:val="000000"/>
          <w:sz w:val="32"/>
          <w:lang w:val="en-US" w:eastAsia="zh-CN"/>
        </w:rPr>
        <w:t>事项以及“负面清单”支出</w:t>
      </w:r>
      <w:r>
        <w:rPr>
          <w:rFonts w:eastAsia="仿宋_GB2312"/>
          <w:color w:val="000000"/>
          <w:sz w:val="32"/>
          <w:lang w:val="zh-CN"/>
        </w:rPr>
        <w:t>项目，没有绩效目标或绩效目标不明确的项目不得安排财政衔接推进乡村振兴补助资金。对项目资金实施全过程绩效管理，科学设置绩效目标，做好绩效运行监控和绩效评价。</w:t>
      </w:r>
      <w:r>
        <w:rPr>
          <w:rFonts w:eastAsia="仿宋_GB2312"/>
          <w:color w:val="000000"/>
          <w:sz w:val="32"/>
        </w:rPr>
        <w:t>严格执行资金支出通报制度，加强资金监管，</w:t>
      </w:r>
      <w:r>
        <w:rPr>
          <w:rFonts w:hint="eastAsia" w:eastAsia="仿宋_GB2312"/>
          <w:color w:val="000000"/>
          <w:sz w:val="32"/>
          <w:szCs w:val="32"/>
        </w:rPr>
        <w:t>提高资金使用效益，</w:t>
      </w:r>
      <w:r>
        <w:rPr>
          <w:rFonts w:eastAsia="仿宋_GB2312"/>
          <w:color w:val="000000"/>
          <w:sz w:val="32"/>
        </w:rPr>
        <w:t>确保资金使用规范、安全高效</w:t>
      </w:r>
      <w:r>
        <w:rPr>
          <w:rFonts w:eastAsia="仿宋_GB2312"/>
          <w:color w:val="000000"/>
          <w:sz w:val="32"/>
          <w:szCs w:val="32"/>
        </w:rPr>
        <w:t>。</w:t>
      </w:r>
    </w:p>
    <w:p>
      <w:pPr>
        <w:spacing w:line="578" w:lineRule="exact"/>
        <w:rPr>
          <w:rFonts w:eastAsia="仿宋_GB2312"/>
          <w:sz w:val="32"/>
          <w:szCs w:val="32"/>
        </w:rPr>
      </w:pPr>
    </w:p>
    <w:p>
      <w:pPr>
        <w:spacing w:line="578" w:lineRule="exact"/>
        <w:ind w:left="1598" w:leftChars="304" w:hanging="960" w:hangingChars="300"/>
        <w:rPr>
          <w:rFonts w:eastAsia="仿宋_GB2312"/>
          <w:sz w:val="32"/>
          <w:szCs w:val="32"/>
        </w:rPr>
      </w:pPr>
    </w:p>
    <w:p>
      <w:pPr>
        <w:spacing w:line="578" w:lineRule="exact"/>
        <w:ind w:left="1598" w:leftChars="304" w:hanging="960" w:hangingChars="300"/>
      </w:pPr>
      <w:r>
        <w:rPr>
          <w:rFonts w:eastAsia="仿宋_GB2312"/>
          <w:sz w:val="32"/>
          <w:szCs w:val="32"/>
        </w:rPr>
        <w:t>附件：</w:t>
      </w:r>
      <w:r>
        <w:rPr>
          <w:rFonts w:hint="eastAsia" w:eastAsia="仿宋_GB2312"/>
          <w:sz w:val="32"/>
          <w:szCs w:val="32"/>
        </w:rPr>
        <w:t>三亚市天涯区2025年度提前批财政衔接资金调整表</w:t>
      </w:r>
    </w:p>
    <w:p>
      <w:pPr>
        <w:pStyle w:val="2"/>
      </w:pPr>
    </w:p>
    <w:p>
      <w:pPr>
        <w:widowControl w:val="0"/>
        <w:wordWrap/>
        <w:adjustRightInd/>
        <w:snapToGrid/>
        <w:spacing w:line="578" w:lineRule="exact"/>
        <w:jc w:val="both"/>
        <w:textAlignment w:val="auto"/>
        <w:rPr>
          <w:rFonts w:hint="default" w:ascii="Times New Roman" w:hAnsi="Times New Roman" w:eastAsia="仿宋_GB2312" w:cs="Times New Roman"/>
          <w:sz w:val="32"/>
          <w:szCs w:val="32"/>
          <w:lang w:eastAsia="zh-CN"/>
        </w:rPr>
      </w:pPr>
    </w:p>
    <w:p>
      <w:pPr>
        <w:widowControl w:val="0"/>
        <w:wordWrap/>
        <w:adjustRightInd/>
        <w:snapToGrid/>
        <w:spacing w:line="578" w:lineRule="exact"/>
        <w:ind w:firstLine="4160" w:firstLineChars="13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中共三亚市天涯区委</w:t>
      </w:r>
      <w:r>
        <w:rPr>
          <w:rFonts w:hint="eastAsia" w:ascii="Times New Roman" w:hAnsi="Times New Roman" w:eastAsia="仿宋_GB2312" w:cs="Times New Roman"/>
          <w:sz w:val="32"/>
          <w:szCs w:val="32"/>
          <w:lang w:val="en-US" w:eastAsia="zh-CN"/>
        </w:rPr>
        <w:t>农村工作</w:t>
      </w:r>
    </w:p>
    <w:p>
      <w:pPr>
        <w:widowControl w:val="0"/>
        <w:wordWrap/>
        <w:adjustRightInd/>
        <w:snapToGrid/>
        <w:spacing w:line="578" w:lineRule="exact"/>
        <w:ind w:firstLine="4160" w:firstLineChars="1300"/>
        <w:jc w:val="both"/>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领导小组</w:t>
      </w:r>
      <w:r>
        <w:rPr>
          <w:rFonts w:hint="eastAsia" w:ascii="Times New Roman" w:hAnsi="Times New Roman" w:eastAsia="仿宋_GB2312" w:cs="Times New Roman"/>
          <w:sz w:val="32"/>
          <w:szCs w:val="32"/>
          <w:lang w:val="en-US" w:eastAsia="zh-CN"/>
        </w:rPr>
        <w:t>办公室</w:t>
      </w:r>
      <w:r>
        <w:rPr>
          <w:rFonts w:hint="default" w:ascii="Times New Roman" w:hAnsi="Times New Roman" w:eastAsia="仿宋_GB2312" w:cs="Times New Roman"/>
          <w:sz w:val="32"/>
          <w:szCs w:val="32"/>
          <w:lang w:eastAsia="zh-CN"/>
        </w:rPr>
        <w:t>（代）</w:t>
      </w:r>
    </w:p>
    <w:p>
      <w:pPr>
        <w:widowControl w:val="0"/>
        <w:wordWrap/>
        <w:adjustRightInd/>
        <w:snapToGrid/>
        <w:spacing w:line="578" w:lineRule="exact"/>
        <w:ind w:firstLine="4160" w:firstLineChars="13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日</w:t>
      </w:r>
    </w:p>
    <w:p>
      <w:pPr>
        <w:pStyle w:val="6"/>
        <w:wordWrap/>
        <w:adjustRightInd/>
        <w:snapToGrid/>
        <w:spacing w:after="0" w:afterLines="0" w:line="578" w:lineRule="exact"/>
        <w:textAlignment w:val="auto"/>
        <w:rPr>
          <w:rFonts w:hint="eastAsia" w:ascii="Times New Roman" w:hAnsi="Times New Roman" w:eastAsia="仿宋_GB2312" w:cs="Times New Roman"/>
          <w:sz w:val="32"/>
          <w:szCs w:val="32"/>
          <w:lang w:val="en-US" w:eastAsia="zh-CN"/>
        </w:rPr>
      </w:pPr>
    </w:p>
    <w:p>
      <w:pPr>
        <w:widowControl w:val="0"/>
        <w:wordWrap/>
        <w:adjustRightInd/>
        <w:snapToGrid/>
        <w:spacing w:line="578"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w:t>
      </w:r>
      <w:r>
        <w:rPr>
          <w:rFonts w:hint="eastAsia" w:eastAsia="仿宋_GB2312" w:cs="Times New Roman"/>
          <w:sz w:val="32"/>
          <w:szCs w:val="32"/>
          <w:lang w:val="en-US" w:eastAsia="zh-CN"/>
        </w:rPr>
        <w:t>林如金</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联系</w:t>
      </w:r>
      <w:r>
        <w:rPr>
          <w:rFonts w:hint="eastAsia" w:ascii="Times New Roman" w:hAnsi="Times New Roman" w:eastAsia="仿宋_GB2312" w:cs="Times New Roman"/>
          <w:sz w:val="32"/>
          <w:szCs w:val="32"/>
          <w:lang w:val="en-US" w:eastAsia="zh-CN"/>
        </w:rPr>
        <w:t>电话</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88911870</w:t>
      </w:r>
      <w:r>
        <w:rPr>
          <w:rFonts w:hint="default" w:ascii="Times New Roman" w:hAnsi="Times New Roman" w:eastAsia="仿宋_GB2312" w:cs="Times New Roman"/>
          <w:sz w:val="32"/>
          <w:szCs w:val="32"/>
          <w:lang w:val="en-US" w:eastAsia="zh-CN"/>
        </w:rPr>
        <w:t>）</w:t>
      </w:r>
    </w:p>
    <w:p>
      <w:pPr>
        <w:widowControl w:val="0"/>
        <w:wordWrap/>
        <w:adjustRightInd/>
        <w:snapToGrid/>
        <w:spacing w:line="578"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（此件主动公开）</w:t>
      </w:r>
    </w:p>
    <w:p/>
    <w:p>
      <w:pPr>
        <w:pStyle w:val="2"/>
      </w:pPr>
    </w:p>
    <w:p/>
    <w:p>
      <w:pPr>
        <w:pStyle w:val="2"/>
      </w:pPr>
    </w:p>
    <w:p/>
    <w:p>
      <w:pPr>
        <w:pStyle w:val="2"/>
      </w:pPr>
    </w:p>
    <w:p/>
    <w:p>
      <w:pPr>
        <w:pStyle w:val="2"/>
      </w:pPr>
    </w:p>
    <w:p/>
    <w:p>
      <w:pPr>
        <w:pStyle w:val="2"/>
      </w:pPr>
    </w:p>
    <w:p/>
    <w:tbl>
      <w:tblPr>
        <w:tblStyle w:val="11"/>
        <w:tblpPr w:leftFromText="180" w:rightFromText="180" w:vertAnchor="text" w:horzAnchor="page" w:tblpX="1605" w:tblpY="10585"/>
        <w:tblOverlap w:val="never"/>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Borders>
              <w:left w:val="nil"/>
              <w:right w:val="nil"/>
            </w:tcBorders>
            <w:vAlign w:val="top"/>
          </w:tcPr>
          <w:p>
            <w:pPr>
              <w:widowControl w:val="0"/>
              <w:wordWrap/>
              <w:adjustRightInd/>
              <w:snapToGrid/>
              <w:spacing w:beforeAutospacing="0" w:afterAutospacing="0" w:line="578" w:lineRule="exact"/>
              <w:ind w:right="0"/>
              <w:textAlignment w:val="auto"/>
              <w:outlineLvl w:val="9"/>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w w:val="100"/>
                <w:sz w:val="28"/>
                <w:szCs w:val="28"/>
                <w:lang w:val="en-US" w:eastAsia="zh-CN"/>
              </w:rPr>
              <w:t xml:space="preserve"> </w:t>
            </w:r>
            <w:r>
              <w:rPr>
                <w:rFonts w:hint="default" w:ascii="Times New Roman" w:hAnsi="Times New Roman" w:eastAsia="仿宋_GB2312" w:cs="Times New Roman"/>
                <w:w w:val="100"/>
                <w:sz w:val="28"/>
                <w:szCs w:val="28"/>
                <w:lang w:val="en-US" w:eastAsia="zh-CN"/>
              </w:rPr>
              <w:t>中共三亚市天涯区委</w:t>
            </w:r>
            <w:r>
              <w:rPr>
                <w:rFonts w:hint="eastAsia" w:ascii="Times New Roman" w:hAnsi="Times New Roman" w:eastAsia="仿宋_GB2312" w:cs="Times New Roman"/>
                <w:w w:val="100"/>
                <w:sz w:val="28"/>
                <w:szCs w:val="28"/>
                <w:lang w:val="en-US" w:eastAsia="zh-CN"/>
              </w:rPr>
              <w:t>农村工作领导小组</w:t>
            </w:r>
            <w:r>
              <w:rPr>
                <w:rFonts w:hint="default" w:ascii="Times New Roman" w:hAnsi="Times New Roman" w:eastAsia="仿宋_GB2312" w:cs="Times New Roman"/>
                <w:w w:val="100"/>
                <w:sz w:val="28"/>
                <w:szCs w:val="28"/>
                <w:lang w:val="en-US" w:eastAsia="zh-CN"/>
              </w:rPr>
              <w:t>办公室</w:t>
            </w:r>
            <w:r>
              <w:rPr>
                <w:rFonts w:hint="default" w:ascii="Times New Roman" w:hAnsi="Times New Roman" w:eastAsia="仿宋_GB2312" w:cs="Times New Roman"/>
                <w:sz w:val="28"/>
                <w:szCs w:val="28"/>
                <w:lang w:val="en-US" w:eastAsia="zh-CN"/>
              </w:rPr>
              <w:t xml:space="preserve">  202</w:t>
            </w:r>
            <w:r>
              <w:rPr>
                <w:rFonts w:hint="eastAsia" w:eastAsia="仿宋_GB2312" w:cs="Times New Roman"/>
                <w:sz w:val="28"/>
                <w:szCs w:val="28"/>
                <w:lang w:val="en-US" w:eastAsia="zh-CN"/>
              </w:rPr>
              <w:t>5</w:t>
            </w:r>
            <w:r>
              <w:rPr>
                <w:rFonts w:hint="default" w:ascii="Times New Roman" w:hAnsi="Times New Roman" w:eastAsia="仿宋_GB2312" w:cs="Times New Roman"/>
                <w:sz w:val="28"/>
                <w:szCs w:val="28"/>
                <w:lang w:val="en-US" w:eastAsia="zh-CN"/>
              </w:rPr>
              <w:t>年</w:t>
            </w:r>
            <w:r>
              <w:rPr>
                <w:rFonts w:hint="eastAsia" w:eastAsia="仿宋_GB2312" w:cs="Times New Roman"/>
                <w:sz w:val="28"/>
                <w:szCs w:val="28"/>
                <w:lang w:val="en-US" w:eastAsia="zh-CN"/>
              </w:rPr>
              <w:t>4</w:t>
            </w:r>
            <w:r>
              <w:rPr>
                <w:rFonts w:hint="default" w:ascii="Times New Roman" w:hAnsi="Times New Roman" w:eastAsia="仿宋_GB2312" w:cs="Times New Roman"/>
                <w:sz w:val="28"/>
                <w:szCs w:val="28"/>
                <w:lang w:val="en-US" w:eastAsia="zh-CN"/>
              </w:rPr>
              <w:t>月</w:t>
            </w:r>
            <w:r>
              <w:rPr>
                <w:rFonts w:hint="eastAsia"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日印发</w:t>
            </w:r>
          </w:p>
        </w:tc>
      </w:tr>
    </w:tbl>
    <w:p>
      <w:pPr>
        <w:pStyle w:val="2"/>
      </w:pPr>
    </w:p>
    <w:sectPr>
      <w:headerReference r:id="rId3" w:type="default"/>
      <w:footerReference r:id="rId5" w:type="default"/>
      <w:headerReference r:id="rId4" w:type="even"/>
      <w:footerReference r:id="rId6" w:type="even"/>
      <w:pgSz w:w="11906" w:h="16838"/>
      <w:pgMar w:top="2098" w:right="1474" w:bottom="1984" w:left="1587" w:header="851"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szCs w:val="22"/>
        <w:lang w:val="en-US" w:eastAsia="zh-CN" w:bidi="ar-SA"/>
      </w:rPr>
      <w:pict>
        <v:rect id="文本框 2" o:spid="_x0000_s4097" o:spt="1" style="position:absolute;left:0pt;margin-top:0pt;height:144pt;width:144pt;mso-position-horizontal:outside;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ascii="宋体" w:hAnsi="宋体" w:cs="宋体"/>
                    <w:sz w:val="32"/>
                    <w:szCs w:val="32"/>
                  </w:rPr>
                </w:pPr>
                <w:r>
                  <w:rPr>
                    <w:rFonts w:hint="eastAsia" w:ascii="宋体" w:hAnsi="宋体" w:cs="宋体"/>
                    <w:sz w:val="32"/>
                    <w:szCs w:val="32"/>
                  </w:rPr>
                  <w:t xml:space="preserve">— </w:t>
                </w:r>
                <w:r>
                  <w:rPr>
                    <w:rFonts w:hint="eastAsia" w:ascii="宋体" w:hAnsi="宋体" w:cs="宋体"/>
                    <w:sz w:val="32"/>
                    <w:szCs w:val="32"/>
                  </w:rPr>
                  <w:fldChar w:fldCharType="begin"/>
                </w:r>
                <w:r>
                  <w:rPr>
                    <w:rFonts w:hint="eastAsia" w:ascii="宋体" w:hAnsi="宋体" w:cs="宋体"/>
                    <w:sz w:val="32"/>
                    <w:szCs w:val="32"/>
                  </w:rPr>
                  <w:instrText xml:space="preserve"> PAGE  \* MERGEFORMAT </w:instrText>
                </w:r>
                <w:r>
                  <w:rPr>
                    <w:rFonts w:hint="eastAsia" w:ascii="宋体" w:hAnsi="宋体" w:cs="宋体"/>
                    <w:sz w:val="32"/>
                    <w:szCs w:val="32"/>
                  </w:rPr>
                  <w:fldChar w:fldCharType="separate"/>
                </w:r>
                <w:r>
                  <w:t>1</w:t>
                </w:r>
                <w:r>
                  <w:rPr>
                    <w:rFonts w:hint="eastAsia" w:ascii="宋体" w:hAnsi="宋体" w:cs="宋体"/>
                    <w:sz w:val="32"/>
                    <w:szCs w:val="32"/>
                  </w:rPr>
                  <w:fldChar w:fldCharType="end"/>
                </w:r>
                <w:r>
                  <w:rPr>
                    <w:rFonts w:hint="eastAsia" w:ascii="宋体" w:hAnsi="宋体" w:cs="宋体"/>
                    <w:sz w:val="32"/>
                    <w:szCs w:val="32"/>
                  </w:rPr>
                  <w:t xml:space="preserve"> —</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 w:val="clear" w:pos="8306"/>
      </w:tabs>
      <w:ind w:right="360" w:firstLine="360"/>
    </w:pPr>
    <w:r>
      <w:rPr>
        <w:rFonts w:ascii="Times New Roman" w:hAnsi="Times New Roman" w:eastAsia="宋体" w:cs="Times New Roman"/>
        <w:kern w:val="2"/>
        <w:sz w:val="18"/>
        <w:szCs w:val="22"/>
        <w:lang w:val="en-US" w:eastAsia="zh-CN" w:bidi="ar-SA"/>
      </w:rPr>
      <w:pict>
        <v:rect id="文本框 1" o:spid="_x0000_s4098" o:spt="1" style="position:absolute;left:0pt;margin-top:0pt;height:11pt;width:4.55pt;mso-position-horizontal:outside;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ascii="宋体" w:hAnsi="宋体" w:cs="宋体"/>
                    <w:sz w:val="32"/>
                    <w:szCs w:val="32"/>
                  </w:rPr>
                </w:pPr>
                <w:r>
                  <w:rPr>
                    <w:rFonts w:hint="eastAsia" w:ascii="宋体" w:hAnsi="宋体" w:cs="宋体"/>
                    <w:sz w:val="32"/>
                    <w:szCs w:val="32"/>
                  </w:rPr>
                  <w:t xml:space="preserve">— </w:t>
                </w:r>
                <w:r>
                  <w:rPr>
                    <w:rFonts w:hint="eastAsia" w:ascii="宋体" w:hAnsi="宋体" w:cs="宋体"/>
                    <w:sz w:val="32"/>
                    <w:szCs w:val="32"/>
                  </w:rPr>
                  <w:fldChar w:fldCharType="begin"/>
                </w:r>
                <w:r>
                  <w:rPr>
                    <w:rFonts w:hint="eastAsia" w:ascii="宋体" w:hAnsi="宋体" w:cs="宋体"/>
                    <w:sz w:val="32"/>
                    <w:szCs w:val="32"/>
                  </w:rPr>
                  <w:instrText xml:space="preserve"> PAGE  \* MERGEFORMAT </w:instrText>
                </w:r>
                <w:r>
                  <w:rPr>
                    <w:rFonts w:hint="eastAsia" w:ascii="宋体" w:hAnsi="宋体" w:cs="宋体"/>
                    <w:sz w:val="32"/>
                    <w:szCs w:val="32"/>
                  </w:rPr>
                  <w:fldChar w:fldCharType="separate"/>
                </w:r>
                <w:r>
                  <w:t>2</w:t>
                </w:r>
                <w:r>
                  <w:rPr>
                    <w:rFonts w:hint="eastAsia" w:ascii="宋体" w:hAnsi="宋体" w:cs="宋体"/>
                    <w:sz w:val="32"/>
                    <w:szCs w:val="32"/>
                  </w:rPr>
                  <w:fldChar w:fldCharType="end"/>
                </w:r>
                <w:r>
                  <w:rPr>
                    <w:rFonts w:hint="eastAsia" w:ascii="宋体" w:hAnsi="宋体" w:cs="宋体"/>
                    <w:sz w:val="32"/>
                    <w:szCs w:val="32"/>
                  </w:rPr>
                  <w:t xml:space="preserve">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clear" w:pos="4153"/>
        <w:tab w:val="clear" w:pos="8306"/>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clear" w:pos="4153"/>
        <w:tab w:val="clear"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14AA792C"/>
    <w:rsid w:val="039628C4"/>
    <w:rsid w:val="0E8E23C3"/>
    <w:rsid w:val="1060768D"/>
    <w:rsid w:val="140B2016"/>
    <w:rsid w:val="14AA792C"/>
    <w:rsid w:val="165266AD"/>
    <w:rsid w:val="1B915223"/>
    <w:rsid w:val="1F9A536D"/>
    <w:rsid w:val="201E0E99"/>
    <w:rsid w:val="27ED18E9"/>
    <w:rsid w:val="29A7721D"/>
    <w:rsid w:val="29CA4917"/>
    <w:rsid w:val="2EE2539A"/>
    <w:rsid w:val="31DB30FB"/>
    <w:rsid w:val="33E31F0A"/>
    <w:rsid w:val="3443524F"/>
    <w:rsid w:val="368A046D"/>
    <w:rsid w:val="3A3A70AD"/>
    <w:rsid w:val="3C4B7597"/>
    <w:rsid w:val="41FD194D"/>
    <w:rsid w:val="468B2984"/>
    <w:rsid w:val="4C701AC0"/>
    <w:rsid w:val="4ED33BF6"/>
    <w:rsid w:val="4F7264B8"/>
    <w:rsid w:val="5D2249DA"/>
    <w:rsid w:val="5F7D1C0F"/>
    <w:rsid w:val="67173BAC"/>
    <w:rsid w:val="715E3BF5"/>
    <w:rsid w:val="724A6CBF"/>
    <w:rsid w:val="74812423"/>
    <w:rsid w:val="77A93B00"/>
    <w:rsid w:val="78D924CF"/>
    <w:rsid w:val="7B8A2D7A"/>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pPr>
    <w:rPr>
      <w:rFonts w:eastAsia="仿宋_GB2312"/>
      <w:sz w:val="32"/>
    </w:rPr>
  </w:style>
  <w:style w:type="paragraph" w:styleId="5">
    <w:name w:val="Salutation"/>
    <w:basedOn w:val="1"/>
    <w:next w:val="1"/>
    <w:qFormat/>
    <w:uiPriority w:val="0"/>
  </w:style>
  <w:style w:type="paragraph" w:styleId="6">
    <w:name w:val="Body Text"/>
    <w:basedOn w:val="1"/>
    <w:unhideWhenUsed/>
    <w:qFormat/>
    <w:uiPriority w:val="99"/>
    <w:pPr>
      <w:spacing w:after="120" w:afterLines="0" w:afterAutospacing="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2022-02-22T08:00:00Z</dcterms:created>
  <dc:creator>高培</dc:creator>
  <cp:lastModifiedBy>尹华源</cp:lastModifiedBy>
  <cp:lastPrinted>2022-02-24T01:28:00Z</cp:lastPrinted>
  <dcterms:modified xsi:type="dcterms:W3CDTF">2025-04-16T09:32:57Z</dcterms:modified>
  <dc:title>三亚市天涯区2023年财政衔接推进乡村振兴补助资金（提前批）安排方案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