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rPr>
        <w:t>三亚市天涯区人民政府办公室</w:t>
      </w:r>
      <w:r>
        <w:rPr>
          <w:rFonts w:hint="eastAsia" w:asciiTheme="majorEastAsia" w:hAnsiTheme="majorEastAsia" w:eastAsiaTheme="majorEastAsia" w:cstheme="majorEastAsia"/>
          <w:b/>
          <w:bCs/>
          <w:sz w:val="44"/>
          <w:szCs w:val="44"/>
          <w:lang w:val="en-US" w:eastAsia="zh-CN"/>
        </w:rPr>
        <w:t>(</w:t>
      </w:r>
      <w:r>
        <w:rPr>
          <w:rFonts w:hint="eastAsia" w:asciiTheme="majorEastAsia" w:hAnsiTheme="majorEastAsia" w:eastAsiaTheme="majorEastAsia" w:cstheme="majorEastAsia"/>
          <w:b/>
          <w:bCs/>
          <w:sz w:val="44"/>
          <w:szCs w:val="44"/>
        </w:rPr>
        <w:t>本级</w:t>
      </w:r>
      <w:r>
        <w:rPr>
          <w:rFonts w:hint="eastAsia" w:asciiTheme="majorEastAsia" w:hAnsiTheme="majorEastAsia" w:eastAsiaTheme="majorEastAsia" w:cstheme="majorEastAsia"/>
          <w:b/>
          <w:bCs/>
          <w:sz w:val="44"/>
          <w:szCs w:val="44"/>
          <w:lang w:val="en-US" w:eastAsia="zh-CN"/>
        </w:rPr>
        <w:t>)</w:t>
      </w:r>
    </w:p>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2024年度</w:t>
      </w:r>
      <w:r>
        <w:rPr>
          <w:rFonts w:hint="eastAsia" w:asciiTheme="majorEastAsia" w:hAnsiTheme="majorEastAsia" w:eastAsiaTheme="majorEastAsia" w:cstheme="majorEastAsia"/>
          <w:b/>
          <w:bCs/>
          <w:sz w:val="44"/>
          <w:szCs w:val="44"/>
          <w:lang w:eastAsia="zh-CN"/>
        </w:rPr>
        <w:t>单位</w:t>
      </w:r>
      <w:r>
        <w:rPr>
          <w:rFonts w:hint="eastAsia" w:asciiTheme="majorEastAsia" w:hAnsiTheme="majorEastAsia" w:eastAsiaTheme="majorEastAsia" w:cstheme="majorEastAsia"/>
          <w:b/>
          <w:bCs/>
          <w:sz w:val="44"/>
          <w:szCs w:val="44"/>
        </w:rPr>
        <w:t>决算公开报告</w:t>
      </w: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7"/>
        <w:tabs>
          <w:tab w:val="right" w:leader="dot" w:pos="8306"/>
        </w:tabs>
        <w:spacing w:line="578" w:lineRule="exact"/>
        <w:rPr>
          <w:rFonts w:hint="eastAsia" w:ascii="黑体" w:hAnsi="ˎ̥" w:eastAsia="黑体"/>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 xml:space="preserve">第一部分 </w:t>
      </w:r>
      <w:r>
        <w:rPr>
          <w:rFonts w:hint="eastAsia" w:ascii="黑体" w:hAnsi="ˎ̥" w:eastAsia="黑体"/>
          <w:sz w:val="32"/>
          <w:szCs w:val="32"/>
          <w:lang w:val="en-US" w:eastAsia="zh-CN"/>
        </w:rPr>
        <w:t xml:space="preserve"> </w:t>
      </w:r>
      <w:r>
        <w:rPr>
          <w:rFonts w:hint="eastAsia" w:ascii="黑体" w:hAnsi="ˎ̥" w:eastAsia="黑体" w:cs="黑体"/>
          <w:kern w:val="0"/>
          <w:sz w:val="32"/>
          <w:szCs w:val="32"/>
          <w:shd w:val="clear" w:color="auto" w:fill="FFFFFF"/>
          <w:lang w:eastAsia="zh-CN"/>
        </w:rPr>
        <w:t>三亚市天涯区人民政府办公室（本级）</w:t>
      </w:r>
      <w:r>
        <w:rPr>
          <w:rFonts w:hint="eastAsia" w:ascii="黑体" w:hAnsi="ˎ̥" w:eastAsia="黑体"/>
          <w:sz w:val="32"/>
          <w:szCs w:val="32"/>
        </w:rPr>
        <w:t xml:space="preserve"> </w:t>
      </w:r>
    </w:p>
    <w:p>
      <w:pPr>
        <w:pStyle w:val="17"/>
        <w:tabs>
          <w:tab w:val="right" w:leader="dot" w:pos="8306"/>
        </w:tabs>
        <w:spacing w:line="578" w:lineRule="exact"/>
        <w:rPr>
          <w:rFonts w:hint="eastAsia" w:eastAsia="宋体"/>
          <w:sz w:val="32"/>
          <w:szCs w:val="32"/>
          <w:lang w:val="en-US" w:eastAsia="zh-CN"/>
        </w:rPr>
      </w:pPr>
      <w:r>
        <w:rPr>
          <w:rFonts w:hint="eastAsia" w:ascii="黑体" w:hAnsi="ˎ̥" w:eastAsia="黑体"/>
          <w:sz w:val="32"/>
          <w:szCs w:val="32"/>
        </w:rPr>
        <w:t>基本情况</w:t>
      </w:r>
      <w:r>
        <w:rPr>
          <w:sz w:val="32"/>
          <w:szCs w:val="32"/>
        </w:rPr>
        <w:tab/>
      </w:r>
      <w:r>
        <w:rPr>
          <w:sz w:val="32"/>
          <w:szCs w:val="32"/>
        </w:rPr>
        <w:fldChar w:fldCharType="end"/>
      </w:r>
      <w:r>
        <w:rPr>
          <w:rFonts w:hint="eastAsia" w:ascii="仿宋" w:hAnsi="仿宋" w:eastAsia="仿宋" w:cs="仿宋"/>
          <w:sz w:val="32"/>
          <w:szCs w:val="32"/>
          <w:lang w:val="en-US" w:eastAsia="zh-CN" w:bidi="ar-SA"/>
        </w:rPr>
        <w:t>1</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ascii="黑体" w:hAnsi="ˎ̥" w:eastAsia="黑体"/>
          <w:sz w:val="32"/>
          <w:szCs w:val="32"/>
        </w:rPr>
      </w:pPr>
      <w: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eastAsia" w:ascii="黑体" w:hAnsi="ˎ̥" w:eastAsia="黑体" w:cs="黑体"/>
          <w:kern w:val="0"/>
          <w:sz w:val="32"/>
          <w:szCs w:val="32"/>
          <w:shd w:val="clear" w:color="auto" w:fill="FFFFFF"/>
          <w:lang w:eastAsia="zh-CN"/>
        </w:rPr>
        <w:t>三亚市天涯区人民政府办公室（本级）</w:t>
      </w:r>
      <w:r>
        <w:rPr>
          <w:rFonts w:hint="eastAsia" w:ascii="黑体" w:hAnsi="ˎ̥" w:eastAsia="黑体"/>
          <w:sz w:val="32"/>
          <w:szCs w:val="32"/>
        </w:rPr>
        <w:t>202</w:t>
      </w:r>
      <w:r>
        <w:rPr>
          <w:rFonts w:hint="eastAsia" w:ascii="黑体" w:hAnsi="ˎ̥" w:eastAsia="黑体"/>
          <w:sz w:val="32"/>
          <w:szCs w:val="32"/>
          <w:lang w:val="en-US" w:eastAsia="zh-CN"/>
        </w:rPr>
        <w:t>4</w:t>
      </w:r>
      <w:r>
        <w:rPr>
          <w:rFonts w:hint="eastAsia" w:ascii="黑体" w:hAnsi="ˎ̥" w:eastAsia="黑体"/>
          <w:sz w:val="32"/>
          <w:szCs w:val="32"/>
        </w:rPr>
        <w:t>年度</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eastAsia="宋体"/>
          <w:sz w:val="32"/>
          <w:szCs w:val="32"/>
          <w:lang w:val="en-US" w:eastAsia="zh-CN"/>
        </w:rPr>
      </w:pPr>
      <w:r>
        <w:rPr>
          <w:rFonts w:hint="eastAsia" w:ascii="黑体" w:hAnsi="ˎ̥" w:eastAsia="黑体"/>
          <w:sz w:val="32"/>
          <w:szCs w:val="32"/>
        </w:rPr>
        <w:t>部门决算公开</w:t>
      </w:r>
      <w:r>
        <w:rPr>
          <w:rFonts w:hint="eastAsia" w:ascii="黑体" w:hAnsi="ˎ̥" w:eastAsia="黑体"/>
          <w:sz w:val="32"/>
          <w:szCs w:val="32"/>
          <w:lang w:eastAsia="zh-CN"/>
        </w:rPr>
        <w:t>报</w:t>
      </w:r>
      <w:r>
        <w:rPr>
          <w:rFonts w:hint="eastAsia" w:ascii="黑体" w:hAnsi="ˎ̥" w:eastAsia="黑体"/>
          <w:sz w:val="32"/>
          <w:szCs w:val="32"/>
        </w:rPr>
        <w:t>表</w:t>
      </w:r>
      <w:r>
        <w:rPr>
          <w:sz w:val="32"/>
          <w:szCs w:val="32"/>
        </w:rPr>
        <w:tab/>
      </w:r>
      <w:r>
        <w:rPr>
          <w:sz w:val="32"/>
          <w:szCs w:val="32"/>
        </w:rPr>
        <w:fldChar w:fldCharType="end"/>
      </w:r>
      <w:r>
        <w:rPr>
          <w:rFonts w:hint="eastAsia" w:ascii="仿宋" w:hAnsi="仿宋" w:eastAsia="仿宋" w:cs="仿宋"/>
          <w:sz w:val="32"/>
          <w:szCs w:val="32"/>
          <w:lang w:val="en-US" w:eastAsia="zh-CN" w:bidi="ar-SA"/>
        </w:rPr>
        <w:t>3</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ascii="黑体" w:hAnsi="ˎ̥" w:eastAsia="黑体"/>
          <w:sz w:val="32"/>
          <w:szCs w:val="32"/>
        </w:rPr>
      </w:pPr>
      <w: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eastAsia" w:ascii="黑体" w:hAnsi="ˎ̥" w:eastAsia="黑体" w:cs="黑体"/>
          <w:kern w:val="0"/>
          <w:sz w:val="32"/>
          <w:szCs w:val="32"/>
          <w:shd w:val="clear" w:color="auto" w:fill="FFFFFF"/>
          <w:lang w:eastAsia="zh-CN"/>
        </w:rPr>
        <w:t>三亚市天涯区人民政府办公室（本级）</w:t>
      </w:r>
      <w:r>
        <w:rPr>
          <w:rFonts w:hint="eastAsia" w:ascii="黑体" w:hAnsi="ˎ̥" w:eastAsia="黑体"/>
          <w:sz w:val="32"/>
          <w:szCs w:val="32"/>
        </w:rPr>
        <w:t>202</w:t>
      </w:r>
      <w:r>
        <w:rPr>
          <w:rFonts w:hint="eastAsia" w:ascii="黑体" w:hAnsi="ˎ̥" w:eastAsia="黑体"/>
          <w:sz w:val="32"/>
          <w:szCs w:val="32"/>
          <w:lang w:val="en-US" w:eastAsia="zh-CN"/>
        </w:rPr>
        <w:t>4</w:t>
      </w:r>
      <w:r>
        <w:rPr>
          <w:rFonts w:hint="eastAsia" w:ascii="黑体" w:hAnsi="ˎ̥" w:eastAsia="黑体"/>
          <w:sz w:val="32"/>
          <w:szCs w:val="32"/>
        </w:rPr>
        <w:t>年度</w:t>
      </w:r>
    </w:p>
    <w:p>
      <w:pPr>
        <w:pStyle w:val="17"/>
        <w:keepNext w:val="0"/>
        <w:keepLines w:val="0"/>
        <w:pageBreakBefore w:val="0"/>
        <w:widowControl/>
        <w:tabs>
          <w:tab w:val="right" w:leader="dot" w:pos="8306"/>
        </w:tabs>
        <w:kinsoku/>
        <w:wordWrap/>
        <w:overflowPunct/>
        <w:topLinePunct w:val="0"/>
        <w:autoSpaceDN/>
        <w:bidi w:val="0"/>
        <w:adjustRightInd/>
        <w:snapToGrid/>
        <w:spacing w:line="578" w:lineRule="exact"/>
        <w:ind w:left="0" w:leftChars="0"/>
        <w:textAlignment w:val="auto"/>
        <w:rPr>
          <w:rFonts w:hint="eastAsia" w:eastAsia="宋体"/>
          <w:sz w:val="32"/>
          <w:szCs w:val="32"/>
          <w:lang w:eastAsia="zh-CN"/>
        </w:rPr>
      </w:pPr>
      <w:r>
        <w:rPr>
          <w:rFonts w:hint="eastAsia" w:ascii="黑体" w:hAnsi="ˎ̥" w:eastAsia="黑体"/>
          <w:sz w:val="32"/>
          <w:szCs w:val="32"/>
        </w:rPr>
        <w:t>部门决算情况说明</w:t>
      </w:r>
      <w:r>
        <w:rPr>
          <w:sz w:val="32"/>
          <w:szCs w:val="32"/>
        </w:rPr>
        <w:tab/>
      </w:r>
      <w:r>
        <w:rPr>
          <w:sz w:val="32"/>
          <w:szCs w:val="32"/>
        </w:rPr>
        <w:fldChar w:fldCharType="end"/>
      </w:r>
      <w:r>
        <w:rPr>
          <w:rFonts w:hint="eastAsia" w:ascii="仿宋" w:hAnsi="仿宋" w:eastAsia="仿宋" w:cs="仿宋"/>
          <w:sz w:val="32"/>
          <w:szCs w:val="32"/>
          <w:lang w:val="en-US" w:eastAsia="zh-CN" w:bidi="ar-SA"/>
        </w:rPr>
        <w:t>4</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7</w:t>
      </w:r>
    </w:p>
    <w:p>
      <w:pPr>
        <w:pStyle w:val="18"/>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12</w:t>
      </w:r>
    </w:p>
    <w:p>
      <w:pPr>
        <w:pStyle w:val="18"/>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13</w:t>
      </w:r>
    </w:p>
    <w:p>
      <w:pPr>
        <w:pStyle w:val="18"/>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14</w:t>
      </w:r>
    </w:p>
    <w:p>
      <w:pPr>
        <w:pStyle w:val="18"/>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15</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7</w:t>
      </w:r>
    </w:p>
    <w:p>
      <w:pPr>
        <w:pStyle w:val="18"/>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9</w:t>
      </w:r>
    </w:p>
    <w:p>
      <w:pPr>
        <w:pStyle w:val="18"/>
        <w:tabs>
          <w:tab w:val="right" w:leader="dot" w:pos="8306"/>
        </w:tabs>
        <w:spacing w:line="578" w:lineRule="exact"/>
        <w:ind w:leftChars="0"/>
        <w:rPr>
          <w:rFonts w:hint="eastAsia" w:ascii="仿宋" w:hAnsi="仿宋" w:eastAsia="仿宋" w:cs="仿宋"/>
          <w:sz w:val="32"/>
          <w:szCs w:val="32"/>
          <w:lang w:val="en-US" w:eastAsia="zh-CN" w:bidi="ar-SA"/>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r>
        <w:rPr>
          <w:rFonts w:hint="eastAsia" w:ascii="仿宋" w:hAnsi="仿宋" w:eastAsia="仿宋" w:cs="仿宋"/>
          <w:sz w:val="32"/>
          <w:szCs w:val="32"/>
          <w:lang w:val="en-US" w:eastAsia="zh-CN"/>
        </w:rPr>
        <w:t>2</w:t>
      </w:r>
      <w:r>
        <w:rPr>
          <w:rFonts w:hint="eastAsia" w:ascii="仿宋" w:hAnsi="仿宋" w:eastAsia="仿宋" w:cs="仿宋"/>
          <w:sz w:val="32"/>
          <w:szCs w:val="32"/>
        </w:rPr>
        <w:fldChar w:fldCharType="end"/>
      </w:r>
      <w:bookmarkEnd w:id="0"/>
      <w:r>
        <w:rPr>
          <w:rFonts w:hint="eastAsia" w:ascii="仿宋" w:hAnsi="仿宋" w:eastAsia="仿宋" w:cs="仿宋"/>
          <w:sz w:val="32"/>
          <w:szCs w:val="32"/>
          <w:lang w:val="en-US" w:eastAsia="zh-CN"/>
        </w:rPr>
        <w:t>0</w:t>
      </w:r>
    </w:p>
    <w:p>
      <w:pPr>
        <w:spacing w:line="578" w:lineRule="exact"/>
        <w:jc w:val="both"/>
        <w:rPr>
          <w:rFonts w:hint="eastAsia" w:ascii="黑体" w:hAnsi="ˎ̥" w:eastAsia="黑体"/>
          <w:sz w:val="32"/>
          <w:szCs w:val="32"/>
        </w:rPr>
        <w:sectPr>
          <w:footerReference r:id="rId3" w:type="even"/>
          <w:pgSz w:w="11906" w:h="16838"/>
          <w:pgMar w:top="2098" w:right="1474" w:bottom="1984" w:left="1587" w:header="851" w:footer="992" w:gutter="0"/>
          <w:cols w:space="720" w:num="1"/>
          <w:docGrid w:type="lines" w:linePitch="312" w:charSpace="0"/>
        </w:sectPr>
      </w:pPr>
      <w:bookmarkStart w:id="1" w:name="_Toc1704_WPSOffice_Level1"/>
      <w:bookmarkStart w:id="2" w:name="_Toc22941_WPSOffice_Level1"/>
      <w:bookmarkStart w:id="3" w:name="_Toc32433_WPSOffice_Level1"/>
      <w:bookmarkStart w:id="4" w:name="_Toc23465_WPSOffice_Level1"/>
      <w:bookmarkStart w:id="5" w:name="_Toc10049_WPSOffice_Level1"/>
      <w:bookmarkStart w:id="6" w:name="_Toc10720_WPSOffice_Level1"/>
      <w:bookmarkStart w:id="7" w:name="_Toc24238_WPSOffice_Level2"/>
      <w:bookmarkStart w:id="8" w:name="_Toc32622_WPSOffice_Level2"/>
      <w:bookmarkStart w:id="9" w:name="_Toc20274_WPSOffice_Level2"/>
      <w:bookmarkStart w:id="10" w:name="_Toc20205_WPSOffice_Level2"/>
      <w:bookmarkStart w:id="11" w:name="_Toc14159_WPSOffice_Level2"/>
      <w:bookmarkStart w:id="12" w:name="_Toc26580_WPSOffice_Level2"/>
    </w:p>
    <w:p>
      <w:pPr>
        <w:pStyle w:val="2"/>
        <w:rPr>
          <w:rFonts w:hint="eastAsia"/>
        </w:rPr>
      </w:pPr>
    </w:p>
    <w:p>
      <w:pPr>
        <w:spacing w:line="578" w:lineRule="exact"/>
        <w:jc w:val="center"/>
        <w:rPr>
          <w:rFonts w:hint="eastAsia" w:ascii="黑体" w:hAnsi="ˎ̥" w:eastAsia="黑体"/>
          <w:sz w:val="32"/>
          <w:szCs w:val="32"/>
        </w:rPr>
      </w:pPr>
      <w:r>
        <w:rPr>
          <w:rFonts w:hint="eastAsia" w:ascii="黑体" w:hAnsi="ˎ̥" w:eastAsia="黑体"/>
          <w:sz w:val="32"/>
          <w:szCs w:val="32"/>
        </w:rPr>
        <w:t xml:space="preserve">第一部分  </w:t>
      </w:r>
      <w:bookmarkEnd w:id="1"/>
      <w:bookmarkEnd w:id="2"/>
      <w:bookmarkEnd w:id="3"/>
      <w:bookmarkEnd w:id="4"/>
      <w:bookmarkEnd w:id="5"/>
      <w:bookmarkEnd w:id="6"/>
      <w:r>
        <w:rPr>
          <w:rFonts w:hint="eastAsia" w:ascii="黑体" w:hAnsi="ˎ̥" w:eastAsia="黑体"/>
          <w:sz w:val="32"/>
          <w:szCs w:val="32"/>
        </w:rPr>
        <w:t>三亚市天涯区人民政府办公室（本级）</w:t>
      </w:r>
    </w:p>
    <w:p>
      <w:pPr>
        <w:spacing w:line="578" w:lineRule="exact"/>
        <w:jc w:val="center"/>
        <w:rPr>
          <w:rFonts w:hint="eastAsia" w:ascii="黑体" w:hAnsi="ˎ̥" w:eastAsia="黑体"/>
          <w:sz w:val="32"/>
          <w:szCs w:val="32"/>
        </w:rPr>
      </w:pPr>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bookmarkEnd w:id="7"/>
    <w:p>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单位</w:t>
      </w:r>
      <w:r>
        <w:rPr>
          <w:rFonts w:hint="eastAsia" w:ascii="黑体" w:hAnsi="黑体" w:eastAsia="黑体" w:cs="黑体"/>
          <w:sz w:val="32"/>
          <w:szCs w:val="32"/>
        </w:rPr>
        <w:t>职责</w:t>
      </w:r>
      <w:bookmarkEnd w:id="8"/>
      <w:bookmarkEnd w:id="9"/>
      <w:bookmarkEnd w:id="10"/>
      <w:bookmarkEnd w:id="11"/>
      <w:bookmarkEnd w:id="12"/>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28" w:firstLineChars="200"/>
        <w:textAlignment w:val="auto"/>
        <w:outlineLvl w:val="9"/>
        <w:rPr>
          <w:rFonts w:hint="eastAsia" w:ascii="仿宋_GB2312" w:hAnsi="仿宋_GB2312" w:eastAsia="仿宋_GB2312" w:cs="仿宋_GB2312"/>
          <w:color w:val="000000"/>
          <w:spacing w:val="-3"/>
          <w:sz w:val="32"/>
          <w:szCs w:val="32"/>
        </w:rPr>
      </w:pPr>
      <w:r>
        <w:rPr>
          <w:rFonts w:hint="eastAsia" w:ascii="仿宋_GB2312" w:hAnsi="仿宋_GB2312" w:eastAsia="仿宋_GB2312" w:cs="仿宋_GB2312"/>
          <w:color w:val="000000"/>
          <w:spacing w:val="-3"/>
          <w:kern w:val="0"/>
          <w:sz w:val="32"/>
          <w:szCs w:val="32"/>
        </w:rPr>
        <w:t>（一）贯彻</w:t>
      </w:r>
      <w:r>
        <w:rPr>
          <w:rFonts w:hint="eastAsia" w:ascii="仿宋_GB2312" w:hAnsi="仿宋_GB2312" w:eastAsia="仿宋_GB2312" w:cs="仿宋_GB2312"/>
          <w:color w:val="000000"/>
          <w:spacing w:val="-3"/>
          <w:sz w:val="32"/>
          <w:szCs w:val="32"/>
        </w:rPr>
        <w:t>落实党</w:t>
      </w:r>
      <w:r>
        <w:rPr>
          <w:rFonts w:hint="eastAsia" w:ascii="仿宋_GB2312" w:hAnsi="仿宋_GB2312" w:eastAsia="仿宋_GB2312" w:cs="仿宋_GB2312"/>
          <w:color w:val="000000"/>
          <w:spacing w:val="-3"/>
          <w:sz w:val="32"/>
          <w:szCs w:val="32"/>
          <w:lang w:eastAsia="zh-CN"/>
        </w:rPr>
        <w:t>和国家</w:t>
      </w:r>
      <w:r>
        <w:rPr>
          <w:rFonts w:hint="eastAsia" w:ascii="仿宋_GB2312" w:hAnsi="仿宋_GB2312" w:eastAsia="仿宋_GB2312" w:cs="仿宋_GB2312"/>
          <w:color w:val="000000"/>
          <w:spacing w:val="-3"/>
          <w:sz w:val="32"/>
          <w:szCs w:val="32"/>
        </w:rPr>
        <w:t>、省市</w:t>
      </w:r>
      <w:r>
        <w:rPr>
          <w:rFonts w:hint="eastAsia" w:ascii="仿宋_GB2312" w:hAnsi="仿宋_GB2312" w:eastAsia="仿宋_GB2312" w:cs="仿宋_GB2312"/>
          <w:color w:val="000000"/>
          <w:sz w:val="32"/>
          <w:szCs w:val="32"/>
        </w:rPr>
        <w:t>有关</w:t>
      </w:r>
      <w:r>
        <w:rPr>
          <w:rFonts w:hint="eastAsia" w:ascii="仿宋_GB2312" w:hAnsi="仿宋_GB2312" w:eastAsia="仿宋_GB2312" w:cs="仿宋_GB2312"/>
          <w:color w:val="000000"/>
          <w:sz w:val="32"/>
          <w:szCs w:val="32"/>
          <w:lang w:eastAsia="zh-CN"/>
        </w:rPr>
        <w:t>方面</w:t>
      </w:r>
      <w:r>
        <w:rPr>
          <w:rFonts w:hint="eastAsia" w:ascii="仿宋_GB2312" w:hAnsi="仿宋_GB2312" w:eastAsia="仿宋_GB2312" w:cs="仿宋_GB2312"/>
          <w:color w:val="000000"/>
          <w:spacing w:val="-3"/>
          <w:sz w:val="32"/>
          <w:szCs w:val="32"/>
        </w:rPr>
        <w:t>的方针政策、法律法规，执行</w:t>
      </w:r>
      <w:r>
        <w:rPr>
          <w:rFonts w:hint="eastAsia" w:ascii="仿宋_GB2312" w:hAnsi="仿宋_GB2312" w:eastAsia="仿宋_GB2312" w:cs="仿宋_GB2312"/>
          <w:color w:val="000000"/>
          <w:spacing w:val="-3"/>
          <w:sz w:val="32"/>
          <w:szCs w:val="32"/>
          <w:lang w:val="en-US" w:eastAsia="zh-CN"/>
        </w:rPr>
        <w:t>市</w:t>
      </w:r>
      <w:r>
        <w:rPr>
          <w:rFonts w:hint="eastAsia" w:ascii="仿宋_GB2312" w:hAnsi="仿宋_GB2312" w:eastAsia="仿宋_GB2312" w:cs="仿宋_GB2312"/>
          <w:color w:val="000000"/>
          <w:spacing w:val="-3"/>
          <w:sz w:val="32"/>
          <w:szCs w:val="32"/>
        </w:rPr>
        <w:t>委</w:t>
      </w:r>
      <w:r>
        <w:rPr>
          <w:rFonts w:hint="eastAsia" w:ascii="仿宋_GB2312" w:hAnsi="仿宋_GB2312" w:eastAsia="仿宋_GB2312" w:cs="仿宋_GB2312"/>
          <w:color w:val="000000"/>
          <w:spacing w:val="-3"/>
          <w:sz w:val="32"/>
          <w:szCs w:val="32"/>
          <w:lang w:val="en-US" w:eastAsia="zh-CN"/>
        </w:rPr>
        <w:t>市</w:t>
      </w:r>
      <w:r>
        <w:rPr>
          <w:rFonts w:hint="eastAsia" w:ascii="仿宋_GB2312" w:hAnsi="仿宋_GB2312" w:eastAsia="仿宋_GB2312" w:cs="仿宋_GB2312"/>
          <w:color w:val="000000"/>
          <w:spacing w:val="-3"/>
          <w:sz w:val="32"/>
          <w:szCs w:val="32"/>
        </w:rPr>
        <w:t>政府、</w:t>
      </w:r>
      <w:r>
        <w:rPr>
          <w:rFonts w:hint="eastAsia" w:ascii="仿宋_GB2312" w:hAnsi="仿宋_GB2312" w:eastAsia="仿宋_GB2312" w:cs="仿宋_GB2312"/>
          <w:color w:val="000000"/>
          <w:spacing w:val="-3"/>
          <w:sz w:val="32"/>
          <w:szCs w:val="32"/>
          <w:lang w:val="en-US" w:eastAsia="zh-CN"/>
        </w:rPr>
        <w:t>区委区政府的</w:t>
      </w:r>
      <w:r>
        <w:rPr>
          <w:rFonts w:hint="eastAsia" w:ascii="仿宋_GB2312" w:hAnsi="仿宋_GB2312" w:eastAsia="仿宋_GB2312" w:cs="仿宋_GB2312"/>
          <w:color w:val="000000"/>
          <w:spacing w:val="-3"/>
          <w:sz w:val="32"/>
          <w:szCs w:val="32"/>
        </w:rPr>
        <w:t>决策部署和</w:t>
      </w:r>
      <w:r>
        <w:rPr>
          <w:rFonts w:hint="eastAsia" w:ascii="仿宋_GB2312" w:hAnsi="仿宋_GB2312" w:eastAsia="仿宋_GB2312" w:cs="仿宋_GB2312"/>
          <w:color w:val="000000"/>
          <w:sz w:val="32"/>
          <w:szCs w:val="32"/>
        </w:rPr>
        <w:t>中国（海南）自由贸易试验区、中国特色自由贸易港</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pacing w:val="-3"/>
          <w:sz w:val="32"/>
          <w:szCs w:val="32"/>
        </w:rPr>
        <w:t>政策措施。</w:t>
      </w:r>
    </w:p>
    <w:p>
      <w:pPr>
        <w:keepNext w:val="0"/>
        <w:keepLines w:val="0"/>
        <w:pageBreakBefore w:val="0"/>
        <w:widowControl w:val="0"/>
        <w:kinsoku/>
        <w:wordWrap/>
        <w:overflowPunct/>
        <w:topLinePunct w:val="0"/>
        <w:autoSpaceDE/>
        <w:autoSpaceDN/>
        <w:bidi w:val="0"/>
        <w:adjustRightInd/>
        <w:spacing w:before="0" w:after="0" w:line="578" w:lineRule="exact"/>
        <w:ind w:left="0" w:leftChars="0" w:right="0" w:rightChars="0" w:firstLine="628"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pacing w:val="-3"/>
          <w:sz w:val="32"/>
          <w:szCs w:val="32"/>
        </w:rPr>
        <w:t>（二）</w:t>
      </w:r>
      <w:r>
        <w:rPr>
          <w:rFonts w:hint="eastAsia" w:ascii="仿宋_GB2312" w:hAnsi="仿宋_GB2312" w:eastAsia="仿宋_GB2312" w:cs="仿宋_GB2312"/>
          <w:color w:val="000000"/>
          <w:sz w:val="32"/>
          <w:szCs w:val="32"/>
          <w:highlight w:val="none"/>
        </w:rPr>
        <w:t>围绕</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政府的工作部署，开展调研、收集信息、反映情况、提出建议，当好</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的参谋和助手。</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（三）</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政府各</w:t>
      </w:r>
      <w:r>
        <w:rPr>
          <w:rFonts w:hint="eastAsia" w:ascii="仿宋_GB2312" w:hAnsi="仿宋_GB2312" w:eastAsia="仿宋_GB2312" w:cs="仿宋_GB2312"/>
          <w:color w:val="000000"/>
          <w:sz w:val="32"/>
          <w:szCs w:val="32"/>
          <w:highlight w:val="none"/>
          <w:lang w:eastAsia="zh-CN"/>
        </w:rPr>
        <w:t>类</w:t>
      </w:r>
      <w:r>
        <w:rPr>
          <w:rFonts w:hint="eastAsia" w:ascii="仿宋_GB2312" w:hAnsi="仿宋_GB2312" w:eastAsia="仿宋_GB2312" w:cs="仿宋_GB2312"/>
          <w:color w:val="000000"/>
          <w:sz w:val="32"/>
          <w:szCs w:val="32"/>
          <w:highlight w:val="none"/>
        </w:rPr>
        <w:t>会议的会务工作，协助</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组织会议决定事项的实施。</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（四）</w:t>
      </w:r>
      <w:r>
        <w:rPr>
          <w:rFonts w:hint="eastAsia" w:ascii="仿宋_GB2312" w:hAnsi="仿宋_GB2312" w:eastAsia="仿宋_GB2312" w:cs="仿宋_GB2312"/>
          <w:color w:val="000000"/>
          <w:sz w:val="32"/>
          <w:szCs w:val="32"/>
          <w:highlight w:val="none"/>
        </w:rPr>
        <w:t>协助</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组织起草或审核以</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政府办公室名义发布的公文</w:t>
      </w:r>
      <w:r>
        <w:rPr>
          <w:rFonts w:hint="eastAsia" w:ascii="仿宋_GB2312" w:hAnsi="仿宋_GB2312" w:eastAsia="仿宋_GB2312" w:cs="仿宋_GB2312"/>
          <w:color w:val="000000"/>
          <w:sz w:val="32"/>
          <w:szCs w:val="32"/>
          <w:highlight w:val="none"/>
          <w:lang w:eastAsia="zh-CN"/>
        </w:rPr>
        <w:t>；撰写区政府年度工作计划、总结、报告</w:t>
      </w:r>
      <w:r>
        <w:rPr>
          <w:rFonts w:hint="eastAsia" w:ascii="仿宋_GB2312" w:hAnsi="仿宋_GB2312" w:eastAsia="仿宋_GB2312" w:cs="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（五）</w:t>
      </w:r>
      <w:r>
        <w:rPr>
          <w:rFonts w:hint="eastAsia" w:ascii="仿宋_GB2312" w:hAnsi="仿宋_GB2312" w:eastAsia="仿宋_GB2312" w:cs="仿宋_GB2312"/>
          <w:color w:val="000000"/>
          <w:sz w:val="32"/>
          <w:szCs w:val="32"/>
          <w:highlight w:val="none"/>
        </w:rPr>
        <w:t>研究</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政府各部门请示</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政府的</w:t>
      </w:r>
      <w:r>
        <w:rPr>
          <w:rFonts w:hint="eastAsia" w:ascii="仿宋_GB2312" w:hAnsi="仿宋_GB2312" w:eastAsia="仿宋_GB2312" w:cs="仿宋_GB2312"/>
          <w:color w:val="000000"/>
          <w:sz w:val="32"/>
          <w:szCs w:val="32"/>
          <w:highlight w:val="none"/>
          <w:lang w:eastAsia="zh-CN"/>
        </w:rPr>
        <w:t>事项</w:t>
      </w:r>
      <w:r>
        <w:rPr>
          <w:rFonts w:hint="eastAsia" w:ascii="仿宋_GB2312" w:hAnsi="仿宋_GB2312" w:eastAsia="仿宋_GB2312" w:cs="仿宋_GB2312"/>
          <w:color w:val="000000"/>
          <w:sz w:val="32"/>
          <w:szCs w:val="32"/>
          <w:highlight w:val="none"/>
        </w:rPr>
        <w:t>，提出</w:t>
      </w:r>
      <w:r>
        <w:rPr>
          <w:rFonts w:hint="eastAsia" w:ascii="仿宋_GB2312" w:hAnsi="仿宋_GB2312" w:eastAsia="仿宋_GB2312" w:cs="仿宋_GB2312"/>
          <w:color w:val="000000"/>
          <w:sz w:val="32"/>
          <w:szCs w:val="32"/>
          <w:highlight w:val="none"/>
          <w:lang w:eastAsia="zh-CN"/>
        </w:rPr>
        <w:t>拟办</w:t>
      </w:r>
      <w:r>
        <w:rPr>
          <w:rFonts w:hint="eastAsia" w:ascii="仿宋_GB2312" w:hAnsi="仿宋_GB2312" w:eastAsia="仿宋_GB2312" w:cs="仿宋_GB2312"/>
          <w:color w:val="000000"/>
          <w:sz w:val="32"/>
          <w:szCs w:val="32"/>
          <w:highlight w:val="none"/>
        </w:rPr>
        <w:t>意见，报</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政府审批。</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（六）</w:t>
      </w:r>
      <w:r>
        <w:rPr>
          <w:rFonts w:hint="eastAsia" w:ascii="仿宋_GB2312" w:hAnsi="仿宋_GB2312" w:eastAsia="仿宋_GB2312" w:cs="仿宋_GB2312"/>
          <w:color w:val="000000"/>
          <w:sz w:val="32"/>
          <w:szCs w:val="32"/>
          <w:highlight w:val="none"/>
        </w:rPr>
        <w:t>督促检查</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政府各</w:t>
      </w:r>
      <w:r>
        <w:rPr>
          <w:rFonts w:hint="eastAsia" w:ascii="仿宋_GB2312" w:hAnsi="仿宋_GB2312" w:eastAsia="仿宋_GB2312" w:cs="仿宋_GB2312"/>
          <w:color w:val="000000"/>
          <w:sz w:val="32"/>
          <w:szCs w:val="32"/>
          <w:highlight w:val="none"/>
          <w:lang w:eastAsia="zh-CN"/>
        </w:rPr>
        <w:t>单位</w:t>
      </w:r>
      <w:r>
        <w:rPr>
          <w:rFonts w:hint="eastAsia" w:ascii="仿宋_GB2312" w:hAnsi="仿宋_GB2312" w:eastAsia="仿宋_GB2312" w:cs="仿宋_GB2312"/>
          <w:color w:val="000000"/>
          <w:sz w:val="32"/>
          <w:szCs w:val="32"/>
          <w:highlight w:val="none"/>
        </w:rPr>
        <w:t>对上级和</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政府公文、会议决定事项及</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政府领导有关指示</w:t>
      </w:r>
      <w:r>
        <w:rPr>
          <w:rFonts w:hint="eastAsia" w:ascii="仿宋_GB2312" w:hAnsi="仿宋_GB2312" w:eastAsia="仿宋_GB2312" w:cs="仿宋_GB2312"/>
          <w:color w:val="000000"/>
          <w:sz w:val="32"/>
          <w:szCs w:val="32"/>
          <w:highlight w:val="none"/>
          <w:lang w:eastAsia="zh-CN"/>
        </w:rPr>
        <w:t>和</w:t>
      </w:r>
      <w:r>
        <w:rPr>
          <w:rFonts w:hint="eastAsia" w:ascii="仿宋_GB2312" w:hAnsi="仿宋_GB2312" w:eastAsia="仿宋_GB2312" w:cs="仿宋_GB2312"/>
          <w:color w:val="000000"/>
          <w:sz w:val="32"/>
          <w:szCs w:val="32"/>
        </w:rPr>
        <w:t>中国（海南）自由贸易试验区、中国特色自由贸易港</w:t>
      </w:r>
      <w:r>
        <w:rPr>
          <w:rFonts w:hint="eastAsia" w:ascii="仿宋_GB2312" w:hAnsi="仿宋_GB2312" w:eastAsia="仿宋_GB2312" w:cs="仿宋_GB2312"/>
          <w:color w:val="000000"/>
          <w:sz w:val="32"/>
          <w:szCs w:val="32"/>
          <w:highlight w:val="none"/>
          <w:lang w:eastAsia="zh-CN"/>
        </w:rPr>
        <w:t>政策</w:t>
      </w:r>
      <w:r>
        <w:rPr>
          <w:rFonts w:hint="eastAsia" w:ascii="仿宋_GB2312" w:hAnsi="仿宋_GB2312" w:eastAsia="仿宋_GB2312" w:cs="仿宋_GB2312"/>
          <w:color w:val="000000"/>
          <w:sz w:val="32"/>
          <w:szCs w:val="32"/>
          <w:highlight w:val="none"/>
        </w:rPr>
        <w:t>的执行落实情况，并跟踪调研，及时向</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政府报告。</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（七）</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省人大、省政协，市人大、市政协和区人大交区政府的有关建议、提案的办理工作</w:t>
      </w:r>
      <w:r>
        <w:rPr>
          <w:rFonts w:hint="eastAsia" w:ascii="仿宋_GB2312" w:hAnsi="仿宋_GB2312" w:eastAsia="仿宋_GB2312" w:cs="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（八）</w:t>
      </w:r>
      <w:r>
        <w:rPr>
          <w:rFonts w:hint="eastAsia" w:ascii="仿宋_GB2312" w:hAnsi="仿宋_GB2312" w:eastAsia="仿宋_GB2312" w:cs="仿宋_GB2312"/>
          <w:color w:val="000000"/>
          <w:sz w:val="32"/>
          <w:szCs w:val="32"/>
          <w:highlight w:val="none"/>
        </w:rPr>
        <w:t>负责全</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国民经济、社会发展中全局性、综合性、战略性、长期性问题研究和</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领导</w:t>
      </w:r>
      <w:r>
        <w:rPr>
          <w:rFonts w:hint="eastAsia" w:ascii="仿宋_GB2312" w:hAnsi="仿宋_GB2312" w:eastAsia="仿宋_GB2312" w:cs="仿宋_GB2312"/>
          <w:color w:val="000000"/>
          <w:sz w:val="32"/>
          <w:szCs w:val="32"/>
          <w:highlight w:val="none"/>
          <w:lang w:eastAsia="zh-CN"/>
        </w:rPr>
        <w:t>同志</w:t>
      </w:r>
      <w:r>
        <w:rPr>
          <w:rFonts w:hint="eastAsia" w:ascii="仿宋_GB2312" w:hAnsi="仿宋_GB2312" w:eastAsia="仿宋_GB2312" w:cs="仿宋_GB2312"/>
          <w:color w:val="000000"/>
          <w:sz w:val="32"/>
          <w:szCs w:val="32"/>
          <w:highlight w:val="none"/>
        </w:rPr>
        <w:t>交办的专题调研，提供</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政府决策的参考方案和政策性建议，负责</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政府和社会研究力量的联系和组织协调。</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（九）</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政府值班工作，及时报告重要情况，</w:t>
      </w:r>
      <w:r>
        <w:rPr>
          <w:rFonts w:hint="eastAsia" w:ascii="仿宋_GB2312" w:hAnsi="仿宋_GB2312" w:eastAsia="仿宋_GB2312" w:cs="仿宋_GB2312"/>
          <w:color w:val="000000"/>
          <w:sz w:val="32"/>
          <w:szCs w:val="32"/>
          <w:highlight w:val="none"/>
          <w:lang w:eastAsia="zh-CN"/>
        </w:rPr>
        <w:t>传达和督促落实区政府领导同志指示；</w:t>
      </w:r>
      <w:r>
        <w:rPr>
          <w:rFonts w:hint="eastAsia" w:ascii="仿宋_GB2312" w:hAnsi="仿宋_GB2312" w:eastAsia="仿宋_GB2312" w:cs="仿宋_GB2312"/>
          <w:color w:val="000000"/>
          <w:sz w:val="32"/>
          <w:szCs w:val="32"/>
          <w:highlight w:val="none"/>
        </w:rPr>
        <w:t>协助处理各</w:t>
      </w:r>
      <w:r>
        <w:rPr>
          <w:rFonts w:hint="eastAsia" w:ascii="仿宋_GB2312" w:hAnsi="仿宋_GB2312" w:eastAsia="仿宋_GB2312" w:cs="仿宋_GB2312"/>
          <w:color w:val="000000"/>
          <w:sz w:val="32"/>
          <w:szCs w:val="32"/>
          <w:highlight w:val="none"/>
          <w:lang w:eastAsia="zh-CN"/>
        </w:rPr>
        <w:t>单位</w:t>
      </w:r>
      <w:r>
        <w:rPr>
          <w:rFonts w:hint="eastAsia" w:ascii="仿宋_GB2312" w:hAnsi="仿宋_GB2312" w:eastAsia="仿宋_GB2312" w:cs="仿宋_GB2312"/>
          <w:color w:val="000000"/>
          <w:sz w:val="32"/>
          <w:szCs w:val="32"/>
          <w:highlight w:val="none"/>
        </w:rPr>
        <w:t>向</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政府反映的重要问题。</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shd w:val="clear" w:color="auto" w:fill="auto"/>
          <w:lang w:eastAsia="zh-CN"/>
        </w:rPr>
        <w:t>负责全区政务公开日常工作；负责指导、监督全区政府信息公开；</w:t>
      </w:r>
      <w:r>
        <w:rPr>
          <w:rFonts w:hint="eastAsia" w:ascii="仿宋_GB2312" w:hAnsi="仿宋_GB2312" w:eastAsia="仿宋_GB2312" w:cs="仿宋_GB2312"/>
          <w:color w:val="000000"/>
          <w:sz w:val="32"/>
          <w:szCs w:val="32"/>
          <w:highlight w:val="none"/>
        </w:rPr>
        <w:t>负责</w:t>
      </w:r>
      <w:r>
        <w:rPr>
          <w:rFonts w:hint="eastAsia" w:ascii="仿宋_GB2312" w:hAnsi="仿宋_GB2312" w:eastAsia="仿宋_GB2312" w:cs="仿宋_GB2312"/>
          <w:color w:val="000000"/>
          <w:sz w:val="32"/>
          <w:szCs w:val="32"/>
          <w:highlight w:val="none"/>
          <w:lang w:eastAsia="zh-CN"/>
        </w:rPr>
        <w:t>推进、协调、指导、督促检查全区</w:t>
      </w:r>
      <w:r>
        <w:rPr>
          <w:rFonts w:hint="eastAsia" w:ascii="仿宋_GB2312" w:hAnsi="仿宋_GB2312" w:eastAsia="仿宋_GB2312" w:cs="仿宋_GB2312"/>
          <w:color w:val="000000"/>
          <w:sz w:val="32"/>
          <w:szCs w:val="32"/>
          <w:highlight w:val="none"/>
        </w:rPr>
        <w:t>政务公开</w:t>
      </w:r>
      <w:r>
        <w:rPr>
          <w:rFonts w:hint="eastAsia" w:ascii="仿宋_GB2312" w:hAnsi="仿宋_GB2312" w:eastAsia="仿宋_GB2312" w:cs="仿宋_GB2312"/>
          <w:color w:val="000000"/>
          <w:sz w:val="32"/>
          <w:szCs w:val="32"/>
          <w:highlight w:val="none"/>
          <w:lang w:eastAsia="zh-CN"/>
        </w:rPr>
        <w:t>和政府信息公开</w:t>
      </w:r>
      <w:r>
        <w:rPr>
          <w:rFonts w:hint="eastAsia" w:ascii="仿宋_GB2312" w:hAnsi="仿宋_GB2312" w:eastAsia="仿宋_GB2312" w:cs="仿宋_GB2312"/>
          <w:color w:val="000000"/>
          <w:sz w:val="32"/>
          <w:szCs w:val="32"/>
          <w:highlight w:val="none"/>
        </w:rPr>
        <w:t>工作</w:t>
      </w:r>
      <w:r>
        <w:rPr>
          <w:rFonts w:hint="eastAsia" w:ascii="仿宋_GB2312" w:hAnsi="仿宋_GB2312" w:eastAsia="仿宋_GB2312" w:cs="仿宋_GB2312"/>
          <w:color w:val="000000"/>
          <w:sz w:val="32"/>
          <w:szCs w:val="32"/>
          <w:highlight w:val="none"/>
          <w:lang w:eastAsia="zh-CN"/>
        </w:rPr>
        <w:t>；负责全区政务信息的采编、分析、上报；</w:t>
      </w:r>
      <w:r>
        <w:rPr>
          <w:rFonts w:hint="eastAsia" w:ascii="仿宋_GB2312" w:hAnsi="仿宋_GB2312" w:eastAsia="仿宋_GB2312" w:cs="仿宋_GB2312"/>
          <w:bCs/>
          <w:color w:val="000000"/>
          <w:kern w:val="0"/>
          <w:sz w:val="32"/>
          <w:szCs w:val="32"/>
          <w:highlight w:val="none"/>
        </w:rPr>
        <w:t>负责</w:t>
      </w:r>
      <w:r>
        <w:rPr>
          <w:rFonts w:hint="eastAsia" w:ascii="仿宋_GB2312" w:hAnsi="仿宋_GB2312" w:eastAsia="仿宋_GB2312" w:cs="仿宋_GB2312"/>
          <w:bCs/>
          <w:color w:val="000000"/>
          <w:kern w:val="0"/>
          <w:sz w:val="32"/>
          <w:szCs w:val="32"/>
          <w:highlight w:val="none"/>
          <w:lang w:eastAsia="zh-CN"/>
        </w:rPr>
        <w:t>区</w:t>
      </w:r>
      <w:r>
        <w:rPr>
          <w:rFonts w:hint="eastAsia" w:ascii="仿宋_GB2312" w:hAnsi="仿宋_GB2312" w:eastAsia="仿宋_GB2312" w:cs="仿宋_GB2312"/>
          <w:bCs/>
          <w:color w:val="000000"/>
          <w:kern w:val="0"/>
          <w:sz w:val="32"/>
          <w:szCs w:val="32"/>
          <w:highlight w:val="none"/>
        </w:rPr>
        <w:t>政府</w:t>
      </w:r>
      <w:r>
        <w:rPr>
          <w:rFonts w:hint="eastAsia" w:ascii="仿宋_GB2312" w:hAnsi="仿宋_GB2312" w:eastAsia="仿宋_GB2312" w:cs="仿宋_GB2312"/>
          <w:color w:val="000000"/>
          <w:sz w:val="32"/>
          <w:szCs w:val="32"/>
          <w:highlight w:val="none"/>
        </w:rPr>
        <w:t>门户网站和政务新媒体管理工作。</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（十一）负责全区国防动员综合计划、组织协调、文秘服务等工作。</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eastAsia="zh-CN"/>
        </w:rPr>
        <w:t>二）划入区发展和改革委员会金融管理职责；为了营造健康优质的金融环境，加大小额贷款宣传及防范非法集资宣传力度</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78" w:lineRule="exact"/>
        <w:ind w:left="0" w:leftChars="0" w:right="0" w:rightChars="0" w:firstLine="628"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pacing w:val="-3"/>
          <w:kern w:val="0"/>
          <w:sz w:val="32"/>
          <w:szCs w:val="32"/>
        </w:rPr>
        <w:t>（</w:t>
      </w:r>
      <w:r>
        <w:rPr>
          <w:rFonts w:hint="eastAsia" w:ascii="仿宋_GB2312" w:hAnsi="仿宋_GB2312" w:eastAsia="仿宋_GB2312" w:cs="仿宋_GB2312"/>
          <w:color w:val="000000"/>
          <w:spacing w:val="-3"/>
          <w:kern w:val="0"/>
          <w:sz w:val="32"/>
          <w:szCs w:val="32"/>
          <w:lang w:eastAsia="zh-CN"/>
        </w:rPr>
        <w:t>十三</w:t>
      </w:r>
      <w:r>
        <w:rPr>
          <w:rFonts w:hint="eastAsia" w:ascii="仿宋_GB2312" w:hAnsi="仿宋_GB2312" w:eastAsia="仿宋_GB2312" w:cs="仿宋_GB2312"/>
          <w:color w:val="000000"/>
          <w:spacing w:val="-3"/>
          <w:kern w:val="0"/>
          <w:sz w:val="32"/>
          <w:szCs w:val="32"/>
        </w:rPr>
        <w:t>）</w:t>
      </w:r>
      <w:r>
        <w:rPr>
          <w:rFonts w:hint="eastAsia" w:ascii="仿宋_GB2312" w:hAnsi="仿宋_GB2312" w:eastAsia="仿宋_GB2312" w:cs="仿宋_GB2312"/>
          <w:color w:val="000000"/>
          <w:spacing w:val="-3"/>
          <w:sz w:val="32"/>
          <w:szCs w:val="32"/>
        </w:rPr>
        <w:t>研究拟</w:t>
      </w:r>
      <w:r>
        <w:rPr>
          <w:rFonts w:hint="eastAsia" w:ascii="仿宋_GB2312" w:hAnsi="仿宋_GB2312" w:eastAsia="仿宋_GB2312" w:cs="仿宋_GB2312"/>
          <w:color w:val="000000"/>
          <w:spacing w:val="-3"/>
          <w:sz w:val="32"/>
          <w:szCs w:val="32"/>
          <w:lang w:eastAsia="zh-CN"/>
        </w:rPr>
        <w:t>定</w:t>
      </w:r>
      <w:r>
        <w:rPr>
          <w:rFonts w:hint="eastAsia" w:ascii="仿宋_GB2312" w:hAnsi="仿宋_GB2312" w:eastAsia="仿宋_GB2312" w:cs="仿宋_GB2312"/>
          <w:color w:val="000000"/>
          <w:spacing w:val="-3"/>
          <w:sz w:val="32"/>
          <w:szCs w:val="32"/>
        </w:rPr>
        <w:t>并组织实施全</w:t>
      </w:r>
      <w:r>
        <w:rPr>
          <w:rFonts w:hint="eastAsia" w:ascii="仿宋_GB2312" w:hAnsi="仿宋_GB2312" w:eastAsia="仿宋_GB2312" w:cs="仿宋_GB2312"/>
          <w:color w:val="000000"/>
          <w:spacing w:val="-3"/>
          <w:sz w:val="32"/>
          <w:szCs w:val="32"/>
          <w:lang w:eastAsia="zh-CN"/>
        </w:rPr>
        <w:t>区</w:t>
      </w:r>
      <w:r>
        <w:rPr>
          <w:rFonts w:hint="eastAsia" w:ascii="仿宋_GB2312" w:hAnsi="仿宋_GB2312" w:eastAsia="仿宋_GB2312" w:cs="仿宋_GB2312"/>
          <w:color w:val="000000"/>
          <w:spacing w:val="-3"/>
          <w:sz w:val="32"/>
          <w:szCs w:val="32"/>
        </w:rPr>
        <w:t>外事工作</w:t>
      </w:r>
      <w:r>
        <w:rPr>
          <w:rFonts w:hint="eastAsia" w:ascii="仿宋_GB2312" w:hAnsi="仿宋_GB2312" w:eastAsia="仿宋_GB2312" w:cs="仿宋_GB2312"/>
          <w:color w:val="000000"/>
          <w:spacing w:val="-3"/>
          <w:sz w:val="32"/>
          <w:szCs w:val="32"/>
          <w:lang w:eastAsia="zh-CN"/>
        </w:rPr>
        <w:t>的规划和措施</w:t>
      </w:r>
      <w:r>
        <w:rPr>
          <w:rFonts w:hint="eastAsia" w:ascii="仿宋_GB2312" w:hAnsi="仿宋_GB2312" w:eastAsia="仿宋_GB2312" w:cs="仿宋_GB2312"/>
          <w:color w:val="000000"/>
          <w:spacing w:val="-3"/>
          <w:sz w:val="32"/>
          <w:szCs w:val="32"/>
        </w:rPr>
        <w:t>，研究提出</w:t>
      </w:r>
      <w:r>
        <w:rPr>
          <w:rFonts w:hint="eastAsia" w:ascii="仿宋_GB2312" w:hAnsi="仿宋_GB2312" w:eastAsia="仿宋_GB2312" w:cs="仿宋_GB2312"/>
          <w:color w:val="000000"/>
          <w:sz w:val="32"/>
          <w:szCs w:val="32"/>
        </w:rPr>
        <w:t>中国（海南）自由贸易试验区、中国特色自由贸易港</w:t>
      </w:r>
      <w:r>
        <w:rPr>
          <w:rFonts w:hint="eastAsia" w:ascii="仿宋_GB2312" w:hAnsi="仿宋_GB2312" w:eastAsia="仿宋_GB2312" w:cs="仿宋_GB2312"/>
          <w:color w:val="000000"/>
          <w:sz w:val="32"/>
          <w:szCs w:val="32"/>
          <w:lang w:eastAsia="zh-CN"/>
        </w:rPr>
        <w:t>有关</w:t>
      </w:r>
      <w:r>
        <w:rPr>
          <w:rFonts w:hint="eastAsia" w:ascii="仿宋_GB2312" w:hAnsi="仿宋_GB2312" w:eastAsia="仿宋_GB2312" w:cs="仿宋_GB2312"/>
          <w:color w:val="000000"/>
          <w:spacing w:val="-3"/>
          <w:sz w:val="32"/>
          <w:szCs w:val="32"/>
        </w:rPr>
        <w:t>外事工作方面的意见和建议</w:t>
      </w:r>
      <w:r>
        <w:rPr>
          <w:rFonts w:hint="eastAsia" w:ascii="仿宋_GB2312" w:hAnsi="仿宋_GB2312" w:eastAsia="仿宋_GB2312" w:cs="仿宋_GB2312"/>
          <w:color w:val="000000"/>
          <w:spacing w:val="-3"/>
          <w:sz w:val="32"/>
          <w:szCs w:val="32"/>
          <w:lang w:eastAsia="zh-CN"/>
        </w:rPr>
        <w:t>；</w:t>
      </w:r>
      <w:r>
        <w:rPr>
          <w:rFonts w:hint="eastAsia" w:ascii="仿宋_GB2312" w:hAnsi="仿宋_GB2312" w:eastAsia="仿宋_GB2312" w:cs="仿宋_GB2312"/>
          <w:color w:val="000000"/>
          <w:spacing w:val="-3"/>
          <w:kern w:val="0"/>
          <w:sz w:val="32"/>
          <w:szCs w:val="32"/>
        </w:rPr>
        <w:t>承办</w:t>
      </w:r>
      <w:r>
        <w:rPr>
          <w:rFonts w:hint="eastAsia" w:ascii="仿宋_GB2312" w:hAnsi="仿宋_GB2312" w:eastAsia="仿宋_GB2312" w:cs="仿宋_GB2312"/>
          <w:color w:val="000000"/>
          <w:spacing w:val="-3"/>
          <w:kern w:val="0"/>
          <w:sz w:val="32"/>
          <w:szCs w:val="32"/>
          <w:lang w:eastAsia="zh-CN"/>
        </w:rPr>
        <w:t>区</w:t>
      </w:r>
      <w:r>
        <w:rPr>
          <w:rFonts w:hint="eastAsia" w:ascii="仿宋_GB2312" w:hAnsi="仿宋_GB2312" w:eastAsia="仿宋_GB2312" w:cs="仿宋_GB2312"/>
          <w:color w:val="000000"/>
          <w:spacing w:val="-3"/>
          <w:kern w:val="0"/>
          <w:sz w:val="32"/>
          <w:szCs w:val="32"/>
        </w:rPr>
        <w:t>级领导对外交往事务</w:t>
      </w:r>
      <w:r>
        <w:rPr>
          <w:rFonts w:hint="eastAsia" w:ascii="仿宋_GB2312" w:hAnsi="仿宋_GB2312" w:eastAsia="仿宋_GB2312" w:cs="仿宋_GB2312"/>
          <w:color w:val="000000"/>
          <w:spacing w:val="-3"/>
          <w:kern w:val="0"/>
          <w:sz w:val="32"/>
          <w:szCs w:val="32"/>
          <w:lang w:eastAsia="zh-CN"/>
        </w:rPr>
        <w:t>；按职责权限</w:t>
      </w:r>
      <w:r>
        <w:rPr>
          <w:rFonts w:hint="eastAsia" w:ascii="仿宋_GB2312" w:hAnsi="仿宋_GB2312" w:eastAsia="仿宋_GB2312" w:cs="仿宋_GB2312"/>
          <w:color w:val="000000"/>
          <w:spacing w:val="-3"/>
          <w:kern w:val="0"/>
          <w:sz w:val="32"/>
          <w:szCs w:val="32"/>
        </w:rPr>
        <w:t>做好外事宣传工作，提</w:t>
      </w:r>
      <w:r>
        <w:rPr>
          <w:rFonts w:hint="eastAsia" w:ascii="仿宋_GB2312" w:hAnsi="仿宋_GB2312" w:eastAsia="仿宋_GB2312" w:cs="仿宋_GB2312"/>
          <w:color w:val="000000"/>
          <w:spacing w:val="-3"/>
          <w:kern w:val="0"/>
          <w:sz w:val="32"/>
          <w:szCs w:val="32"/>
          <w:lang w:val="en-US" w:eastAsia="zh-CN"/>
        </w:rPr>
        <w:t>供</w:t>
      </w:r>
      <w:r>
        <w:rPr>
          <w:rFonts w:hint="eastAsia" w:ascii="仿宋_GB2312" w:hAnsi="仿宋_GB2312" w:eastAsia="仿宋_GB2312" w:cs="仿宋_GB2312"/>
          <w:color w:val="000000"/>
          <w:spacing w:val="-3"/>
          <w:kern w:val="0"/>
          <w:sz w:val="32"/>
          <w:szCs w:val="32"/>
        </w:rPr>
        <w:t>外事宣传材料和统一对外表态口径。</w:t>
      </w:r>
    </w:p>
    <w:p>
      <w:pPr>
        <w:keepNext w:val="0"/>
        <w:keepLines w:val="0"/>
        <w:pageBreakBefore w:val="0"/>
        <w:widowControl w:val="0"/>
        <w:kinsoku/>
        <w:wordWrap/>
        <w:overflowPunct/>
        <w:topLinePunct w:val="0"/>
        <w:autoSpaceDE/>
        <w:autoSpaceDN/>
        <w:bidi w:val="0"/>
        <w:adjustRightInd/>
        <w:snapToGrid w:val="0"/>
        <w:spacing w:before="0" w:after="0" w:line="578"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（十四）研究</w:t>
      </w:r>
      <w:r>
        <w:rPr>
          <w:rFonts w:hint="eastAsia" w:ascii="仿宋_GB2312" w:hAnsi="仿宋_GB2312" w:eastAsia="仿宋_GB2312" w:cs="仿宋_GB2312"/>
          <w:color w:val="000000"/>
          <w:sz w:val="32"/>
          <w:szCs w:val="32"/>
          <w:highlight w:val="none"/>
        </w:rPr>
        <w:t>拟定</w:t>
      </w:r>
      <w:r>
        <w:rPr>
          <w:rFonts w:hint="eastAsia" w:ascii="仿宋_GB2312" w:hAnsi="仿宋_GB2312" w:eastAsia="仿宋_GB2312" w:cs="仿宋_GB2312"/>
          <w:color w:val="000000"/>
          <w:sz w:val="32"/>
          <w:szCs w:val="32"/>
          <w:highlight w:val="none"/>
          <w:lang w:eastAsia="zh-CN"/>
        </w:rPr>
        <w:t>并组织实施</w:t>
      </w:r>
      <w:r>
        <w:rPr>
          <w:rFonts w:hint="eastAsia" w:ascii="仿宋_GB2312" w:hAnsi="仿宋_GB2312" w:eastAsia="仿宋_GB2312" w:cs="仿宋_GB2312"/>
          <w:color w:val="000000"/>
          <w:sz w:val="32"/>
          <w:szCs w:val="32"/>
          <w:highlight w:val="none"/>
        </w:rPr>
        <w:t>全</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海防工作</w:t>
      </w:r>
      <w:r>
        <w:rPr>
          <w:rFonts w:hint="eastAsia" w:ascii="仿宋_GB2312" w:hAnsi="仿宋_GB2312" w:eastAsia="仿宋_GB2312" w:cs="仿宋_GB2312"/>
          <w:color w:val="000000"/>
          <w:sz w:val="32"/>
          <w:szCs w:val="32"/>
          <w:highlight w:val="none"/>
          <w:lang w:eastAsia="zh-CN"/>
        </w:rPr>
        <w:t>的</w:t>
      </w:r>
      <w:r>
        <w:rPr>
          <w:rFonts w:hint="eastAsia" w:ascii="仿宋_GB2312" w:hAnsi="仿宋_GB2312" w:eastAsia="仿宋_GB2312" w:cs="仿宋_GB2312"/>
          <w:color w:val="000000"/>
          <w:sz w:val="32"/>
          <w:szCs w:val="32"/>
          <w:highlight w:val="none"/>
        </w:rPr>
        <w:t>规划</w:t>
      </w:r>
      <w:r>
        <w:rPr>
          <w:rFonts w:hint="eastAsia" w:ascii="仿宋_GB2312" w:hAnsi="仿宋_GB2312" w:eastAsia="仿宋_GB2312" w:cs="仿宋_GB2312"/>
          <w:color w:val="000000"/>
          <w:sz w:val="32"/>
          <w:szCs w:val="32"/>
          <w:highlight w:val="none"/>
          <w:lang w:eastAsia="zh-CN"/>
        </w:rPr>
        <w:t>和措施</w:t>
      </w:r>
      <w:r>
        <w:rPr>
          <w:rFonts w:hint="eastAsia" w:ascii="仿宋_GB2312" w:hAnsi="仿宋_GB2312" w:eastAsia="仿宋_GB2312" w:cs="仿宋_GB2312"/>
          <w:color w:val="000000"/>
          <w:sz w:val="32"/>
          <w:szCs w:val="32"/>
          <w:highlight w:val="none"/>
        </w:rPr>
        <w:t>；负责组织、协调、监督</w:t>
      </w:r>
      <w:r>
        <w:rPr>
          <w:rFonts w:hint="eastAsia" w:ascii="仿宋_GB2312" w:hAnsi="仿宋_GB2312" w:eastAsia="仿宋_GB2312" w:cs="仿宋_GB2312"/>
          <w:color w:val="000000"/>
          <w:sz w:val="32"/>
          <w:szCs w:val="32"/>
          <w:highlight w:val="none"/>
          <w:lang w:eastAsia="zh-CN"/>
        </w:rPr>
        <w:t>全区</w:t>
      </w:r>
      <w:r>
        <w:rPr>
          <w:rFonts w:hint="eastAsia" w:ascii="仿宋_GB2312" w:hAnsi="仿宋_GB2312" w:eastAsia="仿宋_GB2312" w:cs="仿宋_GB2312"/>
          <w:color w:val="000000"/>
          <w:sz w:val="32"/>
          <w:szCs w:val="32"/>
          <w:highlight w:val="none"/>
        </w:rPr>
        <w:t>海防成员依法履行职责，协调、指导各相关单位开展海防安全工作；负责海防管理相关数据的统计和综合分析，完善通报制度；负责全</w:t>
      </w:r>
      <w:r>
        <w:rPr>
          <w:rFonts w:hint="eastAsia" w:ascii="仿宋_GB2312" w:hAnsi="仿宋_GB2312" w:eastAsia="仿宋_GB2312" w:cs="仿宋_GB2312"/>
          <w:color w:val="000000"/>
          <w:sz w:val="32"/>
          <w:szCs w:val="32"/>
          <w:highlight w:val="none"/>
          <w:lang w:eastAsia="zh-CN"/>
        </w:rPr>
        <w:t>区</w:t>
      </w:r>
      <w:r>
        <w:rPr>
          <w:rFonts w:hint="eastAsia" w:ascii="仿宋_GB2312" w:hAnsi="仿宋_GB2312" w:eastAsia="仿宋_GB2312" w:cs="仿宋_GB2312"/>
          <w:color w:val="000000"/>
          <w:sz w:val="32"/>
          <w:szCs w:val="32"/>
          <w:highlight w:val="none"/>
        </w:rPr>
        <w:t>海防工作的宣传教育和培训工作。</w:t>
      </w:r>
    </w:p>
    <w:p>
      <w:pPr>
        <w:keepNext w:val="0"/>
        <w:keepLines w:val="0"/>
        <w:pageBreakBefore w:val="0"/>
        <w:widowControl w:val="0"/>
        <w:kinsoku/>
        <w:wordWrap/>
        <w:overflowPunct/>
        <w:topLinePunct w:val="0"/>
        <w:autoSpaceDE/>
        <w:autoSpaceDN/>
        <w:bidi w:val="0"/>
        <w:adjustRightInd/>
        <w:spacing w:before="0" w:after="0" w:line="578"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color w:val="000000"/>
          <w:sz w:val="32"/>
          <w:szCs w:val="32"/>
        </w:rPr>
        <w:t>（十</w:t>
      </w:r>
      <w:r>
        <w:rPr>
          <w:rFonts w:hint="eastAsia" w:ascii="仿宋_GB2312" w:hAnsi="仿宋_GB2312" w:eastAsia="仿宋_GB2312" w:cs="仿宋_GB2312"/>
          <w:color w:val="000000"/>
          <w:sz w:val="32"/>
          <w:szCs w:val="32"/>
          <w:lang w:eastAsia="zh-CN"/>
        </w:rPr>
        <w:t>五</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完成</w:t>
      </w:r>
      <w:r>
        <w:rPr>
          <w:rFonts w:hint="eastAsia" w:ascii="仿宋_GB2312" w:hAnsi="仿宋_GB2312" w:eastAsia="仿宋_GB2312" w:cs="仿宋_GB2312"/>
          <w:color w:val="000000"/>
          <w:sz w:val="32"/>
          <w:szCs w:val="32"/>
          <w:highlight w:val="none"/>
          <w:lang w:val="en-US" w:eastAsia="zh-CN"/>
        </w:rPr>
        <w:t>区</w:t>
      </w:r>
      <w:r>
        <w:rPr>
          <w:rFonts w:hint="eastAsia" w:ascii="仿宋_GB2312" w:hAnsi="仿宋_GB2312" w:eastAsia="仿宋_GB2312" w:cs="仿宋_GB2312"/>
          <w:color w:val="000000"/>
          <w:sz w:val="32"/>
          <w:szCs w:val="32"/>
          <w:highlight w:val="none"/>
        </w:rPr>
        <w:t>委</w:t>
      </w:r>
      <w:r>
        <w:rPr>
          <w:rFonts w:hint="eastAsia" w:ascii="仿宋_GB2312" w:hAnsi="仿宋_GB2312" w:eastAsia="仿宋_GB2312" w:cs="仿宋_GB2312"/>
          <w:color w:val="000000"/>
          <w:sz w:val="32"/>
          <w:szCs w:val="32"/>
          <w:highlight w:val="none"/>
          <w:lang w:val="en-US" w:eastAsia="zh-CN"/>
        </w:rPr>
        <w:t>区</w:t>
      </w:r>
      <w:r>
        <w:rPr>
          <w:rFonts w:hint="eastAsia" w:ascii="仿宋_GB2312" w:hAnsi="仿宋_GB2312" w:eastAsia="仿宋_GB2312" w:cs="仿宋_GB2312"/>
          <w:color w:val="000000"/>
          <w:sz w:val="32"/>
          <w:szCs w:val="32"/>
          <w:highlight w:val="none"/>
        </w:rPr>
        <w:t>政府和上级</w:t>
      </w:r>
      <w:r>
        <w:rPr>
          <w:rFonts w:hint="eastAsia" w:ascii="仿宋_GB2312" w:hAnsi="仿宋_GB2312" w:eastAsia="仿宋_GB2312" w:cs="仿宋_GB2312"/>
          <w:color w:val="000000"/>
          <w:sz w:val="32"/>
          <w:szCs w:val="32"/>
          <w:highlight w:val="none"/>
          <w:lang w:eastAsia="zh-CN"/>
        </w:rPr>
        <w:t>单位</w:t>
      </w:r>
      <w:r>
        <w:rPr>
          <w:rFonts w:hint="eastAsia" w:ascii="仿宋_GB2312" w:hAnsi="仿宋_GB2312" w:eastAsia="仿宋_GB2312" w:cs="仿宋_GB2312"/>
          <w:color w:val="000000"/>
          <w:sz w:val="32"/>
          <w:szCs w:val="32"/>
          <w:highlight w:val="none"/>
        </w:rPr>
        <w:t>交办的其他</w:t>
      </w:r>
      <w:r>
        <w:rPr>
          <w:rFonts w:hint="eastAsia" w:ascii="仿宋_GB2312" w:hAnsi="仿宋_GB2312" w:eastAsia="仿宋_GB2312" w:cs="仿宋_GB2312"/>
          <w:color w:val="000000"/>
          <w:sz w:val="32"/>
          <w:szCs w:val="32"/>
          <w:highlight w:val="none"/>
          <w:lang w:eastAsia="zh-CN"/>
        </w:rPr>
        <w:t>工作</w:t>
      </w:r>
      <w:r>
        <w:rPr>
          <w:rFonts w:hint="eastAsia" w:ascii="仿宋_GB2312" w:hAnsi="仿宋_GB2312" w:eastAsia="仿宋_GB2312" w:cs="仿宋_GB2312"/>
          <w:color w:val="000000"/>
          <w:sz w:val="32"/>
          <w:szCs w:val="32"/>
          <w:highlight w:val="none"/>
        </w:rPr>
        <w:t>任务。</w:t>
      </w:r>
    </w:p>
    <w:p>
      <w:pPr>
        <w:spacing w:line="578" w:lineRule="exact"/>
        <w:ind w:firstLine="640" w:firstLineChars="200"/>
        <w:rPr>
          <w:rFonts w:hint="eastAsia" w:ascii="黑体" w:hAnsi="黑体" w:eastAsia="黑体" w:cs="黑体"/>
          <w:sz w:val="32"/>
          <w:szCs w:val="32"/>
        </w:rPr>
      </w:pPr>
      <w:bookmarkStart w:id="13" w:name="_Toc17796_WPSOffice_Level2"/>
      <w:bookmarkStart w:id="14" w:name="_Toc24474_WPSOffice_Level2"/>
      <w:bookmarkStart w:id="15" w:name="_Toc24059_WPSOffice_Level2"/>
      <w:bookmarkStart w:id="16" w:name="_Toc4833_WPSOffice_Level2"/>
      <w:bookmarkStart w:id="17" w:name="_Toc6572_WPSOffice_Level2"/>
      <w:r>
        <w:rPr>
          <w:rFonts w:hint="eastAsia" w:ascii="黑体" w:hAnsi="黑体" w:eastAsia="黑体" w:cs="黑体"/>
          <w:sz w:val="32"/>
          <w:szCs w:val="32"/>
        </w:rPr>
        <w:t>二、机构设置</w:t>
      </w:r>
      <w:bookmarkEnd w:id="13"/>
      <w:bookmarkEnd w:id="14"/>
      <w:bookmarkEnd w:id="15"/>
      <w:bookmarkEnd w:id="16"/>
      <w:bookmarkEnd w:id="17"/>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纳入三亚市天涯区人民政府办公室（本级）20</w:t>
      </w:r>
      <w:r>
        <w:rPr>
          <w:rFonts w:hint="default" w:ascii="仿宋_GB2312" w:hAnsi="ˎ̥" w:eastAsia="仿宋_GB2312"/>
          <w:sz w:val="32"/>
          <w:szCs w:val="32"/>
        </w:rPr>
        <w:t>24</w:t>
      </w:r>
      <w:r>
        <w:rPr>
          <w:rFonts w:hint="eastAsia" w:ascii="仿宋_GB2312" w:hAnsi="ˎ̥" w:eastAsia="仿宋_GB2312"/>
          <w:sz w:val="32"/>
          <w:szCs w:val="32"/>
        </w:rPr>
        <w:t>年度部门决算编制范围的二级预算单位包括：</w:t>
      </w:r>
    </w:p>
    <w:p>
      <w:pPr>
        <w:numPr>
          <w:ilvl w:val="0"/>
          <w:numId w:val="3"/>
        </w:numPr>
        <w:spacing w:line="578" w:lineRule="exact"/>
        <w:ind w:firstLine="640" w:firstLineChars="200"/>
        <w:rPr>
          <w:rFonts w:hint="eastAsia" w:ascii="方正楷体_GBK" w:hAnsi="方正楷体_GBK" w:eastAsia="方正楷体_GBK" w:cs="方正楷体_GBK"/>
          <w:sz w:val="32"/>
          <w:szCs w:val="32"/>
        </w:rPr>
      </w:pPr>
      <w:bookmarkStart w:id="18" w:name="_Toc4442_WPSOffice_Level2"/>
      <w:bookmarkStart w:id="19" w:name="_Toc19721_WPSOffice_Level2"/>
      <w:r>
        <w:rPr>
          <w:rFonts w:hint="eastAsia" w:ascii="方正楷体_GBK" w:hAnsi="方正楷体_GBK" w:eastAsia="方正楷体_GBK" w:cs="方正楷体_GBK"/>
          <w:sz w:val="32"/>
          <w:szCs w:val="32"/>
        </w:rPr>
        <w:t>天涯区人民政府办公室本级</w:t>
      </w:r>
    </w:p>
    <w:bookmarkEnd w:id="18"/>
    <w:bookmarkEnd w:id="19"/>
    <w:p>
      <w:pPr>
        <w:keepNext w:val="0"/>
        <w:keepLines w:val="0"/>
        <w:pageBreakBefore w:val="0"/>
        <w:kinsoku/>
        <w:wordWrap/>
        <w:overflowPunct/>
        <w:topLinePunct w:val="0"/>
        <w:autoSpaceDN/>
        <w:bidi w:val="0"/>
        <w:adjustRightInd/>
        <w:spacing w:line="578" w:lineRule="exact"/>
        <w:ind w:left="0" w:leftChars="0" w:right="0" w:rightChars="0" w:firstLine="640" w:firstLineChars="200"/>
        <w:textAlignment w:val="auto"/>
        <w:outlineLvl w:val="9"/>
        <w:rPr>
          <w:rFonts w:hint="eastAsia" w:ascii="黑体" w:hAnsi="ˎ̥" w:eastAsia="黑体"/>
          <w:sz w:val="32"/>
          <w:szCs w:val="32"/>
        </w:rPr>
      </w:pP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督查办、海防办及金融办</w:t>
      </w:r>
      <w:bookmarkStart w:id="20" w:name="_Toc6234_WPSOffice_Level1"/>
      <w:bookmarkStart w:id="21" w:name="_Toc8164_WPSOffice_Level1"/>
      <w:bookmarkStart w:id="22" w:name="_Toc30451_WPSOffice_Level1"/>
      <w:bookmarkStart w:id="23" w:name="_Toc30690_WPSOffice_Level1"/>
      <w:bookmarkStart w:id="24" w:name="_Toc28253_WPSOffice_Level1"/>
      <w:bookmarkStart w:id="25" w:name="_Toc15521_WPSOffice_Level1"/>
      <w:bookmarkStart w:id="26" w:name="_Toc32695_WPSOffice_Level2"/>
      <w:bookmarkStart w:id="27" w:name="_Toc8867_WPSOffice_Level2"/>
      <w:bookmarkStart w:id="28" w:name="_Toc4029_WPSOffice_Level2"/>
      <w:bookmarkStart w:id="29" w:name="_Toc11518_WPSOffice_Level2"/>
      <w:bookmarkStart w:id="30" w:name="_Toc32472_WPSOffice_Level2"/>
      <w:bookmarkStart w:id="31" w:name="_Toc6211_WPSOffice_Level2"/>
    </w:p>
    <w:bookmarkEnd w:id="20"/>
    <w:bookmarkEnd w:id="21"/>
    <w:bookmarkEnd w:id="22"/>
    <w:bookmarkEnd w:id="23"/>
    <w:bookmarkEnd w:id="24"/>
    <w:bookmarkEnd w:id="25"/>
    <w:p>
      <w:pPr>
        <w:spacing w:line="578" w:lineRule="exact"/>
        <w:ind w:firstLine="645"/>
        <w:rPr>
          <w:rFonts w:hint="eastAsia" w:ascii="黑体" w:hAnsi="ˎ̥" w:eastAsia="黑体"/>
          <w:sz w:val="32"/>
          <w:szCs w:val="32"/>
        </w:rPr>
      </w:pPr>
      <w:r>
        <w:rPr>
          <w:rFonts w:hint="eastAsia" w:ascii="黑体" w:hAnsi="ˎ̥" w:eastAsia="黑体"/>
          <w:sz w:val="32"/>
          <w:szCs w:val="32"/>
        </w:rPr>
        <w:t>第二部分  三亚市天涯区人民政府办公室（本级）</w:t>
      </w:r>
    </w:p>
    <w:p>
      <w:pPr>
        <w:spacing w:line="578" w:lineRule="exact"/>
        <w:ind w:firstLine="645"/>
        <w:jc w:val="center"/>
        <w:rPr>
          <w:rFonts w:hint="eastAsia" w:ascii="黑体" w:hAnsi="ˎ̥" w:eastAsia="黑体"/>
          <w:sz w:val="32"/>
          <w:szCs w:val="32"/>
        </w:rPr>
      </w:pPr>
      <w:r>
        <w:rPr>
          <w:rFonts w:hint="eastAsia" w:ascii="黑体" w:hAnsi="ˎ̥" w:eastAsia="黑体"/>
          <w:sz w:val="32"/>
          <w:szCs w:val="32"/>
        </w:rPr>
        <w:t>202</w:t>
      </w:r>
      <w:r>
        <w:rPr>
          <w:rFonts w:hint="eastAsia" w:ascii="黑体" w:hAnsi="ˎ̥" w:eastAsia="黑体"/>
          <w:sz w:val="32"/>
          <w:szCs w:val="32"/>
          <w:lang w:val="en-US" w:eastAsia="zh-CN"/>
        </w:rPr>
        <w:t>4</w:t>
      </w:r>
      <w:r>
        <w:rPr>
          <w:rFonts w:hint="eastAsia" w:ascii="黑体" w:hAnsi="ˎ̥" w:eastAsia="黑体"/>
          <w:sz w:val="32"/>
          <w:szCs w:val="32"/>
        </w:rPr>
        <w:t>年度部门决算公开报表</w:t>
      </w:r>
    </w:p>
    <w:p>
      <w:pPr>
        <w:spacing w:line="578" w:lineRule="exact"/>
        <w:ind w:firstLine="645"/>
        <w:jc w:val="center"/>
        <w:rPr>
          <w:rFonts w:hint="eastAsia" w:ascii="黑体" w:hAnsi="ˎ̥" w:eastAsia="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6"/>
      <w:bookmarkEnd w:id="27"/>
      <w:bookmarkEnd w:id="28"/>
      <w:bookmarkEnd w:id="29"/>
      <w:bookmarkEnd w:id="30"/>
      <w:bookmarkEnd w:id="31"/>
    </w:p>
    <w:p>
      <w:pPr>
        <w:spacing w:line="578" w:lineRule="exact"/>
        <w:ind w:firstLine="645"/>
        <w:rPr>
          <w:rFonts w:hint="eastAsia" w:ascii="黑体" w:hAnsi="黑体" w:eastAsia="黑体" w:cs="黑体"/>
          <w:sz w:val="32"/>
          <w:szCs w:val="32"/>
        </w:rPr>
      </w:pPr>
      <w:bookmarkStart w:id="32" w:name="_Toc23139_WPSOffice_Level2"/>
      <w:bookmarkStart w:id="33" w:name="_Toc14349_WPSOffice_Level2"/>
      <w:bookmarkStart w:id="34" w:name="_Toc26621_WPSOffice_Level2"/>
      <w:bookmarkStart w:id="35" w:name="_Toc30334_WPSOffice_Level2"/>
      <w:bookmarkStart w:id="36" w:name="_Toc28622_WPSOffice_Level2"/>
      <w:bookmarkStart w:id="37" w:name="_Toc25608_WPSOffice_Level2"/>
      <w:r>
        <w:rPr>
          <w:rFonts w:hint="eastAsia" w:ascii="黑体" w:hAnsi="黑体" w:eastAsia="黑体" w:cs="黑体"/>
          <w:sz w:val="32"/>
          <w:szCs w:val="32"/>
        </w:rPr>
        <w:t>二、收入决算公开表</w:t>
      </w:r>
      <w:bookmarkEnd w:id="32"/>
      <w:bookmarkEnd w:id="33"/>
      <w:bookmarkEnd w:id="34"/>
      <w:bookmarkEnd w:id="35"/>
      <w:bookmarkEnd w:id="36"/>
      <w:bookmarkEnd w:id="37"/>
      <w:bookmarkStart w:id="38" w:name="_Toc17858_WPSOffice_Level2"/>
      <w:bookmarkStart w:id="39" w:name="_Toc14658_WPSOffice_Level2"/>
      <w:bookmarkStart w:id="40" w:name="_Toc3262_WPSOffice_Level2"/>
      <w:bookmarkStart w:id="41" w:name="_Toc13854_WPSOffice_Level2"/>
      <w:bookmarkStart w:id="42" w:name="_Toc17626_WPSOffice_Level2"/>
      <w:bookmarkStart w:id="43" w:name="_Toc5489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8"/>
      <w:bookmarkEnd w:id="39"/>
      <w:bookmarkEnd w:id="40"/>
      <w:bookmarkEnd w:id="41"/>
      <w:bookmarkEnd w:id="42"/>
      <w:bookmarkEnd w:id="43"/>
      <w:bookmarkStart w:id="44" w:name="_Toc4265_WPSOffice_Level2"/>
      <w:bookmarkStart w:id="45" w:name="_Toc23493_WPSOffice_Level2"/>
      <w:bookmarkStart w:id="46" w:name="_Toc7988_WPSOffice_Level2"/>
      <w:bookmarkStart w:id="47" w:name="_Toc21415_WPSOffice_Level2"/>
      <w:bookmarkStart w:id="48" w:name="_Toc23591_WPSOffice_Level2"/>
      <w:bookmarkStart w:id="49" w:name="_Toc13701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4"/>
      <w:bookmarkEnd w:id="45"/>
      <w:bookmarkEnd w:id="46"/>
      <w:bookmarkEnd w:id="47"/>
      <w:bookmarkEnd w:id="48"/>
      <w:bookmarkEnd w:id="49"/>
    </w:p>
    <w:p>
      <w:pPr>
        <w:spacing w:line="578" w:lineRule="exact"/>
        <w:ind w:firstLine="645"/>
        <w:rPr>
          <w:rFonts w:hint="eastAsia" w:ascii="黑体" w:hAnsi="黑体" w:eastAsia="黑体" w:cs="黑体"/>
          <w:sz w:val="32"/>
          <w:szCs w:val="32"/>
        </w:rPr>
      </w:pPr>
      <w:bookmarkStart w:id="50" w:name="_Toc25166_WPSOffice_Level2"/>
      <w:bookmarkStart w:id="51" w:name="_Toc23829_WPSOffice_Level2"/>
      <w:bookmarkStart w:id="52" w:name="_Toc7879_WPSOffice_Level2"/>
      <w:bookmarkStart w:id="53" w:name="_Toc22783_WPSOffice_Level2"/>
      <w:bookmarkStart w:id="54" w:name="_Toc2158_WPSOffice_Level2"/>
      <w:bookmarkStart w:id="55" w:name="_Toc13516_WPSOffice_Level2"/>
      <w:r>
        <w:rPr>
          <w:rFonts w:hint="eastAsia" w:ascii="黑体" w:hAnsi="黑体" w:eastAsia="黑体" w:cs="黑体"/>
          <w:sz w:val="32"/>
          <w:szCs w:val="32"/>
        </w:rPr>
        <w:t>五、一般公共预算财政拨款收入支出决算</w:t>
      </w:r>
      <w:bookmarkEnd w:id="50"/>
      <w:bookmarkEnd w:id="51"/>
      <w:bookmarkEnd w:id="52"/>
      <w:bookmarkEnd w:id="53"/>
      <w:r>
        <w:rPr>
          <w:rFonts w:hint="eastAsia" w:ascii="黑体" w:hAnsi="黑体" w:eastAsia="黑体" w:cs="黑体"/>
          <w:sz w:val="32"/>
          <w:szCs w:val="32"/>
        </w:rPr>
        <w:t>公开表</w:t>
      </w:r>
      <w:bookmarkEnd w:id="54"/>
      <w:bookmarkEnd w:id="55"/>
      <w:bookmarkStart w:id="56" w:name="_Toc2632_WPSOffice_Level2"/>
      <w:bookmarkStart w:id="57" w:name="_Toc17283_WPSOffice_Level2"/>
      <w:bookmarkStart w:id="58" w:name="_Toc8373_WPSOffice_Level2"/>
      <w:bookmarkStart w:id="59" w:name="_Toc5343_WPSOffice_Level2"/>
      <w:bookmarkStart w:id="60" w:name="_Toc17833_WPSOffice_Level2"/>
      <w:bookmarkStart w:id="61" w:name="_Toc25362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6"/>
      <w:bookmarkEnd w:id="57"/>
      <w:bookmarkEnd w:id="58"/>
      <w:bookmarkEnd w:id="59"/>
      <w:bookmarkEnd w:id="60"/>
      <w:bookmarkEnd w:id="61"/>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bookmarkStart w:id="62" w:name="_Toc1533_WPSOffice_Level2"/>
      <w:bookmarkStart w:id="63" w:name="_Toc13345_WPSOffice_Level2"/>
      <w:bookmarkStart w:id="64" w:name="_Toc6020_WPSOffice_Level2"/>
      <w:bookmarkStart w:id="65" w:name="_Toc11799_WPSOffice_Level2"/>
      <w:bookmarkStart w:id="66" w:name="_Toc21310_WPSOffice_Level2"/>
      <w:bookmarkStart w:id="67" w:name="_Toc5594_WPSOffice_Level2"/>
      <w:r>
        <w:rPr>
          <w:rFonts w:hint="eastAsia" w:ascii="黑体" w:hAnsi="黑体" w:eastAsia="黑体" w:cs="黑体"/>
          <w:sz w:val="32"/>
          <w:szCs w:val="32"/>
        </w:rPr>
        <w:t>七、政府性基金预算财政拨款收入支出决算</w:t>
      </w:r>
      <w:bookmarkEnd w:id="62"/>
      <w:bookmarkEnd w:id="63"/>
      <w:bookmarkEnd w:id="64"/>
      <w:bookmarkEnd w:id="65"/>
      <w:bookmarkEnd w:id="66"/>
      <w:bookmarkEnd w:id="67"/>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line="578" w:lineRule="exact"/>
        <w:ind w:firstLine="640"/>
        <w:rPr>
          <w:rFonts w:hint="eastAsia" w:ascii="黑体" w:hAnsi="黑体" w:eastAsia="黑体" w:cs="黑体"/>
          <w:sz w:val="32"/>
          <w:szCs w:val="32"/>
        </w:rPr>
      </w:pPr>
      <w:bookmarkStart w:id="68" w:name="_Toc1820_WPSOffice_Level2"/>
      <w:bookmarkStart w:id="69" w:name="_Toc19961_WPSOffice_Level2"/>
      <w:bookmarkStart w:id="70" w:name="_Toc29886_WPSOffice_Level2"/>
      <w:bookmarkStart w:id="71" w:name="_Toc9377_WPSOffice_Level2"/>
      <w:r>
        <w:rPr>
          <w:rFonts w:hint="eastAsia" w:ascii="黑体" w:hAnsi="黑体" w:eastAsia="黑体" w:cs="黑体"/>
          <w:sz w:val="32"/>
          <w:szCs w:val="32"/>
        </w:rPr>
        <w:t>九、财政拨款“三公”经费支出决算</w:t>
      </w:r>
      <w:bookmarkEnd w:id="68"/>
      <w:bookmarkEnd w:id="69"/>
      <w:bookmarkEnd w:id="70"/>
      <w:bookmarkEnd w:id="71"/>
      <w:r>
        <w:rPr>
          <w:rFonts w:hint="eastAsia" w:ascii="黑体" w:hAnsi="黑体" w:eastAsia="黑体" w:cs="黑体"/>
          <w:sz w:val="32"/>
          <w:szCs w:val="32"/>
        </w:rPr>
        <w:t>公开表</w:t>
      </w:r>
    </w:p>
    <w:p>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以上报表见附件</w:t>
      </w:r>
      <w:r>
        <w:rPr>
          <w:rFonts w:hint="eastAsia" w:ascii="仿宋" w:hAnsi="仿宋" w:eastAsia="仿宋" w:cs="仿宋"/>
          <w:w w:val="100"/>
          <w:sz w:val="32"/>
          <w:szCs w:val="32"/>
          <w:lang w:val="en-US" w:eastAsia="zh-CN"/>
        </w:rPr>
        <w:t>1</w:t>
      </w:r>
      <w:r>
        <w:rPr>
          <w:rFonts w:hint="eastAsia" w:ascii="仿宋" w:hAnsi="仿宋" w:eastAsia="仿宋" w:cs="仿宋"/>
          <w:w w:val="100"/>
          <w:sz w:val="32"/>
          <w:szCs w:val="32"/>
        </w:rPr>
        <w:t xml:space="preserve">。   </w:t>
      </w:r>
    </w:p>
    <w:p>
      <w:pPr>
        <w:spacing w:line="578" w:lineRule="exact"/>
        <w:rPr>
          <w:rFonts w:hint="eastAsia" w:ascii="黑体" w:hAnsi="黑体" w:eastAsia="黑体" w:cs="黑体"/>
          <w:sz w:val="32"/>
          <w:szCs w:val="32"/>
        </w:rPr>
      </w:pPr>
    </w:p>
    <w:p>
      <w:pPr>
        <w:spacing w:line="578" w:lineRule="exact"/>
        <w:jc w:val="center"/>
        <w:rPr>
          <w:rFonts w:hint="eastAsia" w:ascii="黑体" w:hAnsi="ˎ̥" w:eastAsia="黑体"/>
          <w:sz w:val="32"/>
          <w:szCs w:val="32"/>
        </w:rPr>
      </w:pPr>
      <w:bookmarkStart w:id="72" w:name="_Toc28629_WPSOffice_Level1"/>
      <w:bookmarkStart w:id="73" w:name="_Toc27590_WPSOffice_Level1"/>
      <w:bookmarkStart w:id="74" w:name="_Toc31264_WPSOffice_Level1"/>
      <w:bookmarkStart w:id="75" w:name="_Toc4402_WPSOffice_Level1"/>
      <w:bookmarkStart w:id="76" w:name="_Toc29683_WPSOffice_Level1"/>
      <w:bookmarkStart w:id="77" w:name="_Toc16686_WPSOffice_Level1"/>
      <w:r>
        <w:rPr>
          <w:rFonts w:hint="eastAsia" w:ascii="黑体" w:hAnsi="ˎ̥" w:eastAsia="黑体"/>
          <w:sz w:val="32"/>
          <w:szCs w:val="32"/>
        </w:rPr>
        <w:t xml:space="preserve">第三部分 </w:t>
      </w:r>
      <w:bookmarkEnd w:id="72"/>
      <w:bookmarkEnd w:id="73"/>
      <w:bookmarkEnd w:id="74"/>
      <w:bookmarkEnd w:id="75"/>
      <w:bookmarkEnd w:id="76"/>
      <w:bookmarkEnd w:id="77"/>
      <w:r>
        <w:rPr>
          <w:rFonts w:hint="eastAsia" w:ascii="黑体" w:hAnsi="ˎ̥" w:eastAsia="黑体"/>
          <w:sz w:val="32"/>
          <w:szCs w:val="32"/>
        </w:rPr>
        <w:t>三亚市天涯区人民政府办公室（本级）</w:t>
      </w:r>
    </w:p>
    <w:p>
      <w:pPr>
        <w:spacing w:line="578" w:lineRule="exact"/>
        <w:jc w:val="center"/>
        <w:rPr>
          <w:rFonts w:hint="eastAsia" w:ascii="黑体" w:hAnsi="ˎ̥" w:eastAsia="黑体"/>
          <w:sz w:val="32"/>
          <w:szCs w:val="32"/>
        </w:rPr>
      </w:pPr>
      <w:r>
        <w:rPr>
          <w:rFonts w:hint="eastAsia" w:ascii="黑体" w:hAnsi="ˎ̥" w:eastAsia="黑体"/>
          <w:sz w:val="32"/>
          <w:szCs w:val="32"/>
        </w:rPr>
        <w:t>202</w:t>
      </w:r>
      <w:r>
        <w:rPr>
          <w:rFonts w:hint="eastAsia" w:ascii="黑体" w:hAnsi="ˎ̥" w:eastAsia="黑体"/>
          <w:sz w:val="32"/>
          <w:szCs w:val="32"/>
          <w:lang w:val="en-US" w:eastAsia="zh-CN"/>
        </w:rPr>
        <w:t>4</w:t>
      </w:r>
      <w:r>
        <w:rPr>
          <w:rFonts w:hint="eastAsia" w:ascii="黑体" w:hAnsi="ˎ̥" w:eastAsia="黑体"/>
          <w:sz w:val="32"/>
          <w:szCs w:val="32"/>
        </w:rPr>
        <w:t>年度部门决算情况说明</w:t>
      </w:r>
    </w:p>
    <w:p>
      <w:pPr>
        <w:spacing w:line="578" w:lineRule="exact"/>
        <w:jc w:val="center"/>
        <w:rPr>
          <w:rFonts w:hint="eastAsia" w:ascii="黑体" w:hAnsi="ˎ̥" w:eastAsia="黑体"/>
          <w:sz w:val="32"/>
          <w:szCs w:val="32"/>
        </w:rPr>
      </w:pP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000000" w:themeColor="text1"/>
          <w:sz w:val="32"/>
          <w:szCs w:val="32"/>
          <w14:textFill>
            <w14:solidFill>
              <w14:schemeClr w14:val="tx1"/>
            </w14:solidFill>
          </w14:textFill>
        </w:rPr>
      </w:pPr>
      <w:r>
        <w:rPr>
          <w:rFonts w:hint="eastAsia" w:ascii="黑体" w:hAnsi="黑体" w:eastAsia="黑体" w:cs="黑体"/>
          <w:bCs/>
          <w:sz w:val="32"/>
          <w:szCs w:val="32"/>
        </w:rPr>
        <w:t>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楷体_GB2312" w:hAnsi="ˎ̥" w:eastAsia="楷体_GB2312"/>
          <w:color w:val="000000" w:themeColor="text1"/>
          <w:sz w:val="32"/>
          <w:szCs w:val="32"/>
          <w14:textFill>
            <w14:solidFill>
              <w14:schemeClr w14:val="tx1"/>
            </w14:solidFill>
          </w14:textFill>
        </w:rPr>
        <w:t xml:space="preserve"> </w:t>
      </w: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年度收入总计</w:t>
      </w:r>
      <w:r>
        <w:rPr>
          <w:rFonts w:hint="default" w:ascii="仿宋_GB2312" w:hAnsi="ˎ̥" w:eastAsia="仿宋_GB2312"/>
          <w:color w:val="000000" w:themeColor="text1"/>
          <w:sz w:val="32"/>
          <w:szCs w:val="32"/>
          <w:lang w:val="en-US"/>
          <w14:textFill>
            <w14:solidFill>
              <w14:schemeClr w14:val="tx1"/>
            </w14:solidFill>
          </w14:textFill>
        </w:rPr>
        <w:t>3,727.17</w:t>
      </w:r>
      <w:r>
        <w:rPr>
          <w:rFonts w:hint="eastAsia" w:ascii="仿宋_GB2312" w:hAnsi="ˎ̥" w:eastAsia="仿宋_GB2312"/>
          <w:color w:val="000000" w:themeColor="text1"/>
          <w:sz w:val="32"/>
          <w:szCs w:val="32"/>
          <w14:textFill>
            <w14:solidFill>
              <w14:schemeClr w14:val="tx1"/>
            </w14:solidFill>
          </w14:textFill>
        </w:rPr>
        <w:t>万元，支出总计</w:t>
      </w:r>
      <w:r>
        <w:rPr>
          <w:rFonts w:hint="default" w:ascii="仿宋_GB2312" w:hAnsi="ˎ̥" w:eastAsia="仿宋_GB2312"/>
          <w:color w:val="000000" w:themeColor="text1"/>
          <w:sz w:val="32"/>
          <w:szCs w:val="32"/>
          <w:lang w:val="en-US"/>
          <w14:textFill>
            <w14:solidFill>
              <w14:schemeClr w14:val="tx1"/>
            </w14:solidFill>
          </w14:textFill>
        </w:rPr>
        <w:t>3,727.17</w:t>
      </w:r>
      <w:r>
        <w:rPr>
          <w:rFonts w:hint="eastAsia" w:ascii="仿宋_GB2312" w:hAnsi="ˎ̥" w:eastAsia="仿宋_GB2312"/>
          <w:color w:val="000000" w:themeColor="text1"/>
          <w:sz w:val="32"/>
          <w:szCs w:val="32"/>
          <w14:textFill>
            <w14:solidFill>
              <w14:schemeClr w14:val="tx1"/>
            </w14:solidFill>
          </w14:textFill>
        </w:rPr>
        <w:t>万元，与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年度相比，收入、支出总计各增加</w:t>
      </w:r>
      <w:r>
        <w:rPr>
          <w:rFonts w:hint="eastAsia" w:ascii="仿宋_GB2312" w:hAnsi="ˎ̥" w:eastAsia="仿宋_GB2312"/>
          <w:color w:val="000000" w:themeColor="text1"/>
          <w:sz w:val="32"/>
          <w:szCs w:val="32"/>
          <w:lang w:val="en-US" w:eastAsia="zh-CN"/>
          <w14:textFill>
            <w14:solidFill>
              <w14:schemeClr w14:val="tx1"/>
            </w14:solidFill>
          </w14:textFill>
        </w:rPr>
        <w:t>476.01</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14.32</w:t>
      </w:r>
      <w:r>
        <w:rPr>
          <w:rFonts w:hint="eastAsia" w:ascii="仿宋_GB2312" w:hAnsi="ˎ̥" w:eastAsia="仿宋_GB2312"/>
          <w:color w:val="000000" w:themeColor="text1"/>
          <w:sz w:val="32"/>
          <w:szCs w:val="32"/>
          <w14:textFill>
            <w14:solidFill>
              <w14:schemeClr w14:val="tx1"/>
            </w14:solidFill>
          </w14:textFill>
        </w:rPr>
        <w:t>%。主要原因：</w:t>
      </w:r>
      <w:r>
        <w:rPr>
          <w:rFonts w:hint="eastAsia" w:ascii="仿宋_GB2312" w:hAnsi="ˎ̥" w:eastAsia="仿宋_GB2312"/>
          <w:color w:val="000000" w:themeColor="text1"/>
          <w:sz w:val="32"/>
          <w:szCs w:val="32"/>
          <w:lang w:eastAsia="zh-CN"/>
          <w14:textFill>
            <w14:solidFill>
              <w14:schemeClr w14:val="tx1"/>
            </w14:solidFill>
          </w14:textFill>
        </w:rPr>
        <w:t>一是</w:t>
      </w:r>
      <w:r>
        <w:rPr>
          <w:rFonts w:hint="eastAsia" w:ascii="仿宋_GB2312" w:hAnsi="ˎ̥" w:eastAsia="仿宋_GB2312"/>
          <w:color w:val="000000" w:themeColor="text1"/>
          <w:sz w:val="32"/>
          <w:szCs w:val="32"/>
          <w:lang w:val="en-US" w:eastAsia="zh-CN"/>
          <w14:textFill>
            <w14:solidFill>
              <w14:schemeClr w14:val="tx1"/>
            </w14:solidFill>
          </w14:textFill>
        </w:rPr>
        <w:t>2024年7月新增挂靠单位：三亚市生态环境局天涯分局，导致新增节能环保支出117.35万元。二是新增政府性基金预算财政拨款收入14.57万元以及</w:t>
      </w:r>
      <w:r>
        <w:rPr>
          <w:rFonts w:hint="eastAsia" w:ascii="仿宋_GB2312" w:hAnsi="ˎ̥" w:eastAsia="仿宋_GB2312"/>
          <w:color w:val="000000" w:themeColor="text1"/>
          <w:sz w:val="32"/>
          <w:szCs w:val="32"/>
          <w14:textFill>
            <w14:solidFill>
              <w14:schemeClr w14:val="tx1"/>
            </w14:solidFill>
          </w14:textFill>
        </w:rPr>
        <w:t>一般公共服务支出较202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年度决算数</w:t>
      </w:r>
      <w:r>
        <w:rPr>
          <w:rFonts w:hint="eastAsia" w:ascii="仿宋_GB2312" w:hAnsi="ˎ̥" w:eastAsia="仿宋_GB2312"/>
          <w:color w:val="000000" w:themeColor="text1"/>
          <w:sz w:val="32"/>
          <w:szCs w:val="32"/>
          <w:lang w:eastAsia="zh-CN"/>
          <w14:textFill>
            <w14:solidFill>
              <w14:schemeClr w14:val="tx1"/>
            </w14:solidFill>
          </w14:textFill>
        </w:rPr>
        <w:t>增加</w:t>
      </w:r>
      <w:r>
        <w:rPr>
          <w:rFonts w:hint="eastAsia" w:ascii="仿宋_GB2312" w:hAnsi="ˎ̥" w:eastAsia="仿宋_GB2312"/>
          <w:color w:val="000000" w:themeColor="text1"/>
          <w:sz w:val="32"/>
          <w:szCs w:val="32"/>
          <w:lang w:val="en-US" w:eastAsia="zh-CN"/>
          <w14:textFill>
            <w14:solidFill>
              <w14:schemeClr w14:val="tx1"/>
            </w14:solidFill>
          </w14:textFill>
        </w:rPr>
        <w:t>473.27万元</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w:t>
      </w:r>
      <w:r>
        <w:rPr>
          <w:rFonts w:ascii="楷体" w:hAnsi="楷体" w:eastAsia="楷体" w:cs="楷体"/>
          <w:color w:val="000000" w:themeColor="text1"/>
          <w:sz w:val="32"/>
          <w:szCs w:val="32"/>
          <w14:textFill>
            <w14:solidFill>
              <w14:schemeClr w14:val="tx1"/>
            </w14:solidFill>
          </w14:textFill>
        </w:rPr>
        <w:t>）</w:t>
      </w:r>
      <w:r>
        <w:rPr>
          <w:rFonts w:hint="eastAsia" w:ascii="楷体" w:hAnsi="楷体" w:eastAsia="楷体" w:cs="楷体"/>
          <w:color w:val="000000" w:themeColor="text1"/>
          <w:sz w:val="32"/>
          <w:szCs w:val="32"/>
          <w14:textFill>
            <w14:solidFill>
              <w14:schemeClr w14:val="tx1"/>
            </w14:solidFill>
          </w14:textFill>
        </w:rPr>
        <w:t>收入</w:t>
      </w:r>
      <w:r>
        <w:rPr>
          <w:rFonts w:ascii="楷体" w:hAnsi="楷体" w:eastAsia="楷体" w:cs="楷体"/>
          <w:color w:val="000000" w:themeColor="text1"/>
          <w:sz w:val="32"/>
          <w:szCs w:val="32"/>
          <w14:textFill>
            <w14:solidFill>
              <w14:schemeClr w14:val="tx1"/>
            </w14:solidFill>
          </w14:textFill>
        </w:rPr>
        <w:t>总计</w:t>
      </w:r>
      <w:r>
        <w:rPr>
          <w:rFonts w:hint="eastAsia" w:ascii="楷体" w:hAnsi="楷体" w:eastAsia="楷体" w:cs="楷体"/>
          <w:color w:val="000000" w:themeColor="text1"/>
          <w:sz w:val="32"/>
          <w:szCs w:val="32"/>
          <w14:textFill>
            <w14:solidFill>
              <w14:schemeClr w14:val="tx1"/>
            </w14:solidFill>
          </w14:textFill>
        </w:rPr>
        <w:t>主要</w:t>
      </w:r>
      <w:r>
        <w:rPr>
          <w:rFonts w:ascii="楷体" w:hAnsi="楷体" w:eastAsia="楷体" w:cs="楷体"/>
          <w:color w:val="000000" w:themeColor="text1"/>
          <w:sz w:val="32"/>
          <w:szCs w:val="32"/>
          <w14:textFill>
            <w14:solidFill>
              <w14:schemeClr w14:val="tx1"/>
            </w14:solidFill>
          </w14:textFill>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本年</w:t>
      </w:r>
      <w:r>
        <w:rPr>
          <w:rFonts w:ascii="仿宋_GB2312" w:hAnsi="ˎ̥" w:eastAsia="仿宋_GB2312"/>
          <w:color w:val="000000" w:themeColor="text1"/>
          <w:sz w:val="32"/>
          <w:szCs w:val="32"/>
          <w14:textFill>
            <w14:solidFill>
              <w14:schemeClr w14:val="tx1"/>
            </w14:solidFill>
          </w14:textFill>
        </w:rPr>
        <w:t>收入</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val="0"/>
        <w:spacing w:line="520" w:lineRule="exact"/>
        <w:ind w:firstLine="640" w:firstLineChars="200"/>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使用非财政拨款结余</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万元，较</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年度决算数增加</w:t>
      </w:r>
      <w:r>
        <w:rPr>
          <w:rFonts w:hint="eastAsia" w:ascii="仿宋_GB2312" w:hAnsi="ˎ̥" w:eastAsia="仿宋_GB2312"/>
          <w:color w:val="000000" w:themeColor="text1"/>
          <w:sz w:val="32"/>
          <w:szCs w:val="32"/>
          <w:lang w:val="en-US" w:eastAsia="zh-CN"/>
          <w14:textFill>
            <w14:solidFill>
              <w14:schemeClr w14:val="tx1"/>
            </w14:solidFill>
          </w14:textFill>
        </w:rPr>
        <w:t>467.01</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增长</w:t>
      </w:r>
      <w:r>
        <w:rPr>
          <w:rFonts w:hint="eastAsia" w:ascii="仿宋_GB2312" w:hAnsi="ˎ̥" w:eastAsia="仿宋_GB2312"/>
          <w:color w:val="000000" w:themeColor="text1"/>
          <w:sz w:val="32"/>
          <w:szCs w:val="32"/>
          <w:lang w:val="en-US" w:eastAsia="zh-CN"/>
          <w14:textFill>
            <w14:solidFill>
              <w14:schemeClr w14:val="tx1"/>
            </w14:solidFill>
          </w14:textFill>
        </w:rPr>
        <w:t>15.29%。</w:t>
      </w:r>
      <w:r>
        <w:rPr>
          <w:rFonts w:hint="eastAsia" w:ascii="仿宋_GB2312" w:hAnsi="仿宋" w:eastAsia="仿宋_GB2312"/>
          <w:color w:val="000000" w:themeColor="text1"/>
          <w:sz w:val="32"/>
          <w:szCs w:val="32"/>
          <w14:textFill>
            <w14:solidFill>
              <w14:schemeClr w14:val="tx1"/>
            </w14:solidFill>
          </w14:textFill>
        </w:rPr>
        <w:t>主要是一般公共预算财政拨款收入3507.09万元，占99.59%；政府性基金预算财政拨款收入14.57万元，占0.41%，主要是支付三亚市国安局老办公楼维修预付款的费用；国有资本经营预算财政拨款收入0万元，占0%；上级补助收入0万元，占0%；事业收入0万元，占0%；经营收入0万元，占0%；附属单位上缴收入0万元，占0%；其他收入0万元，占0%</w:t>
      </w:r>
      <w:r>
        <w:rPr>
          <w:rFonts w:hint="eastAsia" w:ascii="仿宋_GB2312" w:hAnsi="仿宋"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年初结转结余</w:t>
      </w:r>
      <w:r>
        <w:rPr>
          <w:rFonts w:hint="default" w:ascii="仿宋_GB2312" w:hAnsi="ˎ̥" w:eastAsia="仿宋_GB2312"/>
          <w:color w:val="000000" w:themeColor="text1"/>
          <w:sz w:val="32"/>
          <w:szCs w:val="32"/>
          <w:lang w:val="en-US"/>
          <w14:textFill>
            <w14:solidFill>
              <w14:schemeClr w14:val="tx1"/>
            </w14:solidFill>
          </w14:textFill>
        </w:rPr>
        <w:t>205.51</w:t>
      </w:r>
      <w:r>
        <w:rPr>
          <w:rFonts w:hint="eastAsia" w:ascii="仿宋_GB2312" w:hAnsi="ˎ̥" w:eastAsia="仿宋_GB2312"/>
          <w:color w:val="000000" w:themeColor="text1"/>
          <w:sz w:val="32"/>
          <w:szCs w:val="32"/>
          <w14:textFill>
            <w14:solidFill>
              <w14:schemeClr w14:val="tx1"/>
            </w14:solidFill>
          </w14:textFill>
        </w:rPr>
        <w:t>万元，主要是</w:t>
      </w:r>
      <w:r>
        <w:rPr>
          <w:rFonts w:hint="eastAsia" w:ascii="仿宋_GB2312" w:hAnsi="ˎ̥" w:eastAsia="仿宋_GB2312"/>
          <w:color w:val="000000" w:themeColor="text1"/>
          <w:sz w:val="32"/>
          <w:szCs w:val="32"/>
          <w:lang w:val="en-US" w:eastAsia="zh-CN"/>
          <w14:textFill>
            <w14:solidFill>
              <w14:schemeClr w14:val="tx1"/>
            </w14:solidFill>
          </w14:textFill>
        </w:rPr>
        <w:t>2023年年末结余</w:t>
      </w:r>
      <w:r>
        <w:rPr>
          <w:rFonts w:hint="eastAsia" w:ascii="仿宋_GB2312" w:hAnsi="ˎ̥" w:eastAsia="仿宋_GB2312"/>
          <w:color w:val="000000" w:themeColor="text1"/>
          <w:sz w:val="32"/>
          <w:szCs w:val="32"/>
          <w14:textFill>
            <w14:solidFill>
              <w14:schemeClr w14:val="tx1"/>
            </w14:solidFill>
          </w14:textFill>
        </w:rPr>
        <w:t>，较202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年度决算数增加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与上年持平</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lang w:eastAsia="zh-CN"/>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w:t>
      </w:r>
      <w:r>
        <w:rPr>
          <w:rFonts w:ascii="楷体" w:hAnsi="楷体" w:eastAsia="楷体" w:cs="楷体"/>
          <w:color w:val="000000" w:themeColor="text1"/>
          <w:sz w:val="32"/>
          <w:szCs w:val="32"/>
          <w14:textFill>
            <w14:solidFill>
              <w14:schemeClr w14:val="tx1"/>
            </w14:solidFill>
          </w14:textFill>
        </w:rPr>
        <w:t>）</w:t>
      </w:r>
      <w:r>
        <w:rPr>
          <w:rFonts w:hint="eastAsia" w:ascii="楷体" w:hAnsi="楷体" w:eastAsia="楷体" w:cs="楷体"/>
          <w:color w:val="000000" w:themeColor="text1"/>
          <w:sz w:val="32"/>
          <w:szCs w:val="32"/>
          <w14:textFill>
            <w14:solidFill>
              <w14:schemeClr w14:val="tx1"/>
            </w14:solidFill>
          </w14:textFill>
        </w:rPr>
        <w:t>支出</w:t>
      </w:r>
      <w:r>
        <w:rPr>
          <w:rFonts w:ascii="楷体" w:hAnsi="楷体" w:eastAsia="楷体" w:cs="楷体"/>
          <w:color w:val="000000" w:themeColor="text1"/>
          <w:sz w:val="32"/>
          <w:szCs w:val="32"/>
          <w14:textFill>
            <w14:solidFill>
              <w14:schemeClr w14:val="tx1"/>
            </w14:solidFill>
          </w14:textFill>
        </w:rPr>
        <w:t>总计</w:t>
      </w:r>
      <w:r>
        <w:rPr>
          <w:rFonts w:hint="eastAsia" w:ascii="楷体" w:hAnsi="楷体" w:eastAsia="楷体" w:cs="楷体"/>
          <w:color w:val="000000" w:themeColor="text1"/>
          <w:sz w:val="32"/>
          <w:szCs w:val="32"/>
          <w14:textFill>
            <w14:solidFill>
              <w14:schemeClr w14:val="tx1"/>
            </w14:solidFill>
          </w14:textFill>
        </w:rPr>
        <w:t>主要</w:t>
      </w:r>
      <w:r>
        <w:rPr>
          <w:rFonts w:ascii="楷体" w:hAnsi="楷体" w:eastAsia="楷体" w:cs="楷体"/>
          <w:color w:val="000000" w:themeColor="text1"/>
          <w:sz w:val="32"/>
          <w:szCs w:val="32"/>
          <w14:textFill>
            <w14:solidFill>
              <w14:schemeClr w14:val="tx1"/>
            </w14:solidFill>
          </w14:textFill>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本年支出</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val="0"/>
        <w:spacing w:line="520" w:lineRule="exact"/>
        <w:ind w:firstLine="640" w:firstLineChars="200"/>
        <w:rPr>
          <w:rFonts w:hint="eastAsia" w:ascii="仿宋_GB2312" w:hAnsi="ˎ̥" w:eastAsia="仿宋_GB2312" w:cs="仿宋_GB2312"/>
          <w:color w:val="000000" w:themeColor="text1"/>
          <w:kern w:val="0"/>
          <w:sz w:val="32"/>
          <w:szCs w:val="32"/>
          <w:shd w:val="clear" w:color="auto" w:fill="FFFFFF"/>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结余分配</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万元，较202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年度决算数增加</w:t>
      </w:r>
      <w:r>
        <w:rPr>
          <w:rFonts w:hint="eastAsia" w:ascii="仿宋_GB2312" w:hAnsi="ˎ̥" w:eastAsia="仿宋_GB2312"/>
          <w:color w:val="000000" w:themeColor="text1"/>
          <w:sz w:val="32"/>
          <w:szCs w:val="32"/>
          <w:lang w:val="en-US" w:eastAsia="zh-CN"/>
          <w14:textFill>
            <w14:solidFill>
              <w14:schemeClr w14:val="tx1"/>
            </w14:solidFill>
          </w14:textFill>
        </w:rPr>
        <w:t>467.01</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15.29</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主要是一般公共服务支出2975.05万元，占84.48%；社会保障和就业支出142.97万元，占4.06%；卫生健康支出80.47万元，占2.29%；节能环保支出117.35万元，占3.33%；城乡社区支出14.57万元，占0.41%；自然资源海洋气象等支出146.13万元，占4.15%；住房保障支出45.12万元，占1.28%；</w:t>
      </w:r>
    </w:p>
    <w:p>
      <w:pPr>
        <w:keepNext w:val="0"/>
        <w:keepLines w:val="0"/>
        <w:pageBreakBefore w:val="0"/>
        <w:kinsoku/>
        <w:wordWrap/>
        <w:overflowPunct/>
        <w:topLinePunct w:val="0"/>
        <w:autoSpaceDE/>
        <w:autoSpaceDN/>
        <w:bidi w:val="0"/>
        <w:adjustRightInd/>
        <w:snapToGrid w:val="0"/>
        <w:spacing w:line="520" w:lineRule="exact"/>
        <w:ind w:firstLine="640" w:firstLineChars="200"/>
        <w:rPr>
          <w:rFonts w:hint="eastAsia" w:ascii="仿宋_GB2312" w:hAnsi="ˎ̥"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年末结转结余205.51万元，主要是202</w:t>
      </w:r>
      <w:r>
        <w:rPr>
          <w:rFonts w:hint="eastAsia" w:ascii="仿宋_GB2312" w:hAnsi="仿宋" w:eastAsia="仿宋_GB2312"/>
          <w:color w:val="000000" w:themeColor="text1"/>
          <w:sz w:val="32"/>
          <w:szCs w:val="32"/>
          <w:lang w:val="en-US" w:eastAsia="zh-CN"/>
          <w14:textFill>
            <w14:solidFill>
              <w14:schemeClr w14:val="tx1"/>
            </w14:solidFill>
          </w14:textFill>
        </w:rPr>
        <w:t>4</w:t>
      </w:r>
      <w:r>
        <w:rPr>
          <w:rFonts w:hint="eastAsia" w:ascii="仿宋_GB2312" w:hAnsi="仿宋" w:eastAsia="仿宋_GB2312"/>
          <w:color w:val="000000" w:themeColor="text1"/>
          <w:sz w:val="32"/>
          <w:szCs w:val="32"/>
          <w14:textFill>
            <w14:solidFill>
              <w14:schemeClr w14:val="tx1"/>
            </w14:solidFill>
          </w14:textFill>
        </w:rPr>
        <w:t>年年</w:t>
      </w:r>
      <w:r>
        <w:rPr>
          <w:rFonts w:hint="eastAsia" w:ascii="仿宋_GB2312" w:hAnsi="仿宋" w:eastAsia="仿宋_GB2312"/>
          <w:color w:val="000000" w:themeColor="text1"/>
          <w:sz w:val="32"/>
          <w:szCs w:val="32"/>
          <w:lang w:eastAsia="zh-CN"/>
          <w14:textFill>
            <w14:solidFill>
              <w14:schemeClr w14:val="tx1"/>
            </w14:solidFill>
          </w14:textFill>
        </w:rPr>
        <w:t>初</w:t>
      </w:r>
      <w:r>
        <w:rPr>
          <w:rFonts w:hint="eastAsia" w:ascii="仿宋_GB2312" w:hAnsi="仿宋" w:eastAsia="仿宋_GB2312"/>
          <w:color w:val="000000" w:themeColor="text1"/>
          <w:sz w:val="32"/>
          <w:szCs w:val="32"/>
          <w14:textFill>
            <w14:solidFill>
              <w14:schemeClr w14:val="tx1"/>
            </w14:solidFill>
          </w14:textFill>
        </w:rPr>
        <w:t>结余，较202</w:t>
      </w:r>
      <w:r>
        <w:rPr>
          <w:rFonts w:hint="eastAsia" w:ascii="仿宋_GB2312" w:hAnsi="仿宋" w:eastAsia="仿宋_GB2312"/>
          <w:color w:val="000000" w:themeColor="text1"/>
          <w:sz w:val="32"/>
          <w:szCs w:val="32"/>
          <w:lang w:val="en-US" w:eastAsia="zh-CN"/>
          <w14:textFill>
            <w14:solidFill>
              <w14:schemeClr w14:val="tx1"/>
            </w14:solidFill>
          </w14:textFill>
        </w:rPr>
        <w:t>3</w:t>
      </w:r>
      <w:r>
        <w:rPr>
          <w:rFonts w:hint="eastAsia" w:ascii="仿宋_GB2312" w:hAnsi="仿宋" w:eastAsia="仿宋_GB2312"/>
          <w:color w:val="000000" w:themeColor="text1"/>
          <w:sz w:val="32"/>
          <w:szCs w:val="32"/>
          <w14:textFill>
            <w14:solidFill>
              <w14:schemeClr w14:val="tx1"/>
            </w14:solidFill>
          </w14:textFill>
        </w:rPr>
        <w:t>年度决算数增加0万元，与上年持平。</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二、收入决算情况说明</w:t>
      </w:r>
      <w:r>
        <w:rPr>
          <w:rFonts w:hint="eastAsia" w:ascii="黑体" w:hAnsi="黑体" w:eastAsia="黑体" w:cs="黑体"/>
          <w:bCs/>
          <w:color w:val="000000" w:themeColor="text1"/>
          <w:sz w:val="32"/>
          <w:szCs w:val="32"/>
          <w14:textFill>
            <w14:solidFill>
              <w14:schemeClr w14:val="tx1"/>
            </w14:solidFill>
          </w14:textFill>
        </w:rPr>
        <w:br w:type="textWrapping"/>
      </w:r>
      <w:r>
        <w:rPr>
          <w:rFonts w:hint="eastAsia" w:ascii="仿宋_GB2312" w:hAnsi="ˎ̥" w:eastAsia="仿宋_GB2312"/>
          <w:color w:val="000000" w:themeColor="text1"/>
          <w:sz w:val="32"/>
          <w:szCs w:val="32"/>
          <w14:textFill>
            <w14:solidFill>
              <w14:schemeClr w14:val="tx1"/>
            </w14:solidFill>
          </w14:textFill>
        </w:rPr>
        <w:t xml:space="preserve">    本年收入</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万元，其中：财政拨款收入</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%；上级补助收入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%；事业收入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%；经营收入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%；附属单位上缴收入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%；其他收入</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本年支出</w:t>
      </w:r>
      <w:r>
        <w:rPr>
          <w:rFonts w:hint="default" w:ascii="仿宋_GB2312" w:hAnsi="ˎ̥" w:eastAsia="仿宋_GB2312"/>
          <w:color w:val="000000" w:themeColor="text1"/>
          <w:sz w:val="32"/>
          <w:szCs w:val="32"/>
          <w:lang w:val="en-US"/>
          <w14:textFill>
            <w14:solidFill>
              <w14:schemeClr w14:val="tx1"/>
            </w14:solidFill>
          </w14:textFill>
        </w:rPr>
        <w:t>3,521.66</w:t>
      </w:r>
      <w:r>
        <w:rPr>
          <w:rFonts w:hint="eastAsia" w:ascii="仿宋_GB2312" w:hAnsi="ˎ̥" w:eastAsia="仿宋_GB2312"/>
          <w:color w:val="000000" w:themeColor="text1"/>
          <w:sz w:val="32"/>
          <w:szCs w:val="32"/>
          <w14:textFill>
            <w14:solidFill>
              <w14:schemeClr w14:val="tx1"/>
            </w14:solidFill>
          </w14:textFill>
        </w:rPr>
        <w:t>万元，其中：基本支出</w:t>
      </w:r>
      <w:r>
        <w:rPr>
          <w:rFonts w:hint="default" w:ascii="仿宋_GB2312" w:hAnsi="ˎ̥" w:eastAsia="仿宋_GB2312"/>
          <w:color w:val="000000" w:themeColor="text1"/>
          <w:sz w:val="32"/>
          <w:szCs w:val="32"/>
          <w:lang w:val="en-US"/>
          <w14:textFill>
            <w14:solidFill>
              <w14:schemeClr w14:val="tx1"/>
            </w14:solidFill>
          </w14:textFill>
        </w:rPr>
        <w:t>743.97</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21.13</w:t>
      </w:r>
      <w:r>
        <w:rPr>
          <w:rFonts w:hint="eastAsia" w:ascii="仿宋_GB2312" w:hAnsi="ˎ̥" w:eastAsia="仿宋_GB2312"/>
          <w:color w:val="000000" w:themeColor="text1"/>
          <w:sz w:val="32"/>
          <w:szCs w:val="32"/>
          <w14:textFill>
            <w14:solidFill>
              <w14:schemeClr w14:val="tx1"/>
            </w14:solidFill>
          </w14:textFill>
        </w:rPr>
        <w:t>%；项目支出</w:t>
      </w:r>
      <w:r>
        <w:rPr>
          <w:rFonts w:hint="default" w:ascii="仿宋_GB2312" w:hAnsi="ˎ̥" w:eastAsia="仿宋_GB2312"/>
          <w:color w:val="000000" w:themeColor="text1"/>
          <w:sz w:val="32"/>
          <w:szCs w:val="32"/>
          <w:lang w:val="en-US"/>
          <w14:textFill>
            <w14:solidFill>
              <w14:schemeClr w14:val="tx1"/>
            </w14:solidFill>
          </w14:textFill>
        </w:rPr>
        <w:t>2,777.70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78.87</w:t>
      </w:r>
      <w:r>
        <w:rPr>
          <w:rFonts w:hint="eastAsia" w:ascii="仿宋_GB2312" w:hAnsi="ˎ̥" w:eastAsia="仿宋_GB2312"/>
          <w:color w:val="000000" w:themeColor="text1"/>
          <w:sz w:val="32"/>
          <w:szCs w:val="32"/>
          <w14:textFill>
            <w14:solidFill>
              <w14:schemeClr w14:val="tx1"/>
            </w14:solidFill>
          </w14:textFill>
        </w:rPr>
        <w:t>%；上缴上级支出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%；经营支出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%；对附属单位补助支出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2024年度财政拨款收入3521.66万元，支出3521.66万元。与2023年度相比，财政拨款收入增加</w:t>
      </w:r>
      <w:r>
        <w:rPr>
          <w:rFonts w:hint="default" w:ascii="仿宋_GB2312" w:hAnsi="ˎ̥" w:eastAsia="仿宋_GB2312"/>
          <w:color w:val="000000" w:themeColor="text1"/>
          <w:sz w:val="32"/>
          <w:szCs w:val="32"/>
          <w:lang w:val="en"/>
          <w14:textFill>
            <w14:solidFill>
              <w14:schemeClr w14:val="tx1"/>
            </w14:solidFill>
          </w14:textFill>
        </w:rPr>
        <w:t>467.01</w:t>
      </w:r>
      <w:r>
        <w:rPr>
          <w:rFonts w:hint="default" w:ascii="仿宋_GB2312" w:hAnsi="ˎ̥" w:eastAsia="仿宋_GB2312"/>
          <w:color w:val="000000" w:themeColor="text1"/>
          <w:sz w:val="32"/>
          <w:szCs w:val="32"/>
          <w:lang w:val="en-US"/>
          <w14:textFill>
            <w14:solidFill>
              <w14:schemeClr w14:val="tx1"/>
            </w14:solidFill>
          </w14:textFill>
        </w:rPr>
        <w:t>万元，增长1</w:t>
      </w:r>
      <w:r>
        <w:rPr>
          <w:rFonts w:hint="default" w:ascii="仿宋_GB2312" w:hAnsi="ˎ̥" w:eastAsia="仿宋_GB2312"/>
          <w:color w:val="000000" w:themeColor="text1"/>
          <w:sz w:val="32"/>
          <w:szCs w:val="32"/>
          <w:lang w:val="en"/>
          <w14:textFill>
            <w14:solidFill>
              <w14:schemeClr w14:val="tx1"/>
            </w14:solidFill>
          </w14:textFill>
        </w:rPr>
        <w:t>5.29</w:t>
      </w:r>
      <w:r>
        <w:rPr>
          <w:rFonts w:hint="default" w:ascii="仿宋_GB2312" w:hAnsi="ˎ̥" w:eastAsia="仿宋_GB2312"/>
          <w:color w:val="000000" w:themeColor="text1"/>
          <w:sz w:val="32"/>
          <w:szCs w:val="32"/>
          <w:lang w:val="en-US"/>
          <w14:textFill>
            <w14:solidFill>
              <w14:schemeClr w14:val="tx1"/>
            </w14:solidFill>
          </w14:textFill>
        </w:rPr>
        <w:t>%，主要原因：一是缴纳在编人员做实职业年金记实费用增加；二是2024年7月起三亚市生态环境局天涯分局挂靠至我单位；三是新增三亚市国安局老办公楼租金。支出增加</w:t>
      </w:r>
      <w:r>
        <w:rPr>
          <w:rFonts w:hint="default" w:ascii="仿宋_GB2312" w:hAnsi="ˎ̥" w:eastAsia="仿宋_GB2312"/>
          <w:color w:val="000000" w:themeColor="text1"/>
          <w:sz w:val="32"/>
          <w:szCs w:val="32"/>
          <w:lang w:val="en"/>
          <w14:textFill>
            <w14:solidFill>
              <w14:schemeClr w14:val="tx1"/>
            </w14:solidFill>
          </w14:textFill>
        </w:rPr>
        <w:t>467.01</w:t>
      </w:r>
      <w:r>
        <w:rPr>
          <w:rFonts w:hint="default" w:ascii="仿宋_GB2312" w:hAnsi="ˎ̥" w:eastAsia="仿宋_GB2312"/>
          <w:color w:val="000000" w:themeColor="text1"/>
          <w:sz w:val="32"/>
          <w:szCs w:val="32"/>
          <w:lang w:val="en-US"/>
          <w14:textFill>
            <w14:solidFill>
              <w14:schemeClr w14:val="tx1"/>
            </w14:solidFill>
          </w14:textFill>
        </w:rPr>
        <w:t>万元，增长1</w:t>
      </w:r>
      <w:r>
        <w:rPr>
          <w:rFonts w:hint="default" w:ascii="仿宋_GB2312" w:hAnsi="ˎ̥" w:eastAsia="仿宋_GB2312"/>
          <w:color w:val="000000" w:themeColor="text1"/>
          <w:sz w:val="32"/>
          <w:szCs w:val="32"/>
          <w:lang w:val="en"/>
          <w14:textFill>
            <w14:solidFill>
              <w14:schemeClr w14:val="tx1"/>
            </w14:solidFill>
          </w14:textFill>
        </w:rPr>
        <w:t>5.29</w:t>
      </w:r>
      <w:r>
        <w:rPr>
          <w:rFonts w:hint="default" w:ascii="仿宋_GB2312" w:hAnsi="ˎ̥" w:eastAsia="仿宋_GB2312"/>
          <w:color w:val="000000" w:themeColor="text1"/>
          <w:sz w:val="32"/>
          <w:szCs w:val="32"/>
          <w:lang w:val="en-US"/>
          <w14:textFill>
            <w14:solidFill>
              <w14:schemeClr w14:val="tx1"/>
            </w14:solidFill>
          </w14:textFill>
        </w:rPr>
        <w:t>%，主要原因：一是缴纳在编人员做实职业年金记实费用增加；二是2024年7月起三亚市生态环境局天涯分局挂靠至我单位；三是新增三亚市国安局老办公楼租金。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财政拨款年初结转结余</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万元，主要是202</w:t>
      </w:r>
      <w:r>
        <w:rPr>
          <w:rFonts w:hint="eastAsia" w:ascii="仿宋_GB2312" w:hAnsi="ˎ̥" w:eastAsia="仿宋_GB2312"/>
          <w:color w:val="000000" w:themeColor="text1"/>
          <w:sz w:val="32"/>
          <w:szCs w:val="32"/>
          <w:lang w:val="en-US" w:eastAsia="zh-CN"/>
          <w14:textFill>
            <w14:solidFill>
              <w14:schemeClr w14:val="tx1"/>
            </w14:solidFill>
          </w14:textFill>
        </w:rPr>
        <w:t>4</w:t>
      </w:r>
      <w:r>
        <w:rPr>
          <w:rFonts w:hint="eastAsia" w:ascii="仿宋_GB2312" w:hAnsi="ˎ̥" w:eastAsia="仿宋_GB2312"/>
          <w:color w:val="000000" w:themeColor="text1"/>
          <w:sz w:val="32"/>
          <w:szCs w:val="32"/>
          <w14:textFill>
            <w14:solidFill>
              <w14:schemeClr w14:val="tx1"/>
            </w14:solidFill>
          </w14:textFill>
        </w:rPr>
        <w:t>年年</w:t>
      </w:r>
      <w:r>
        <w:rPr>
          <w:rFonts w:hint="eastAsia" w:ascii="仿宋_GB2312" w:hAnsi="ˎ̥" w:eastAsia="仿宋_GB2312"/>
          <w:color w:val="000000" w:themeColor="text1"/>
          <w:sz w:val="32"/>
          <w:szCs w:val="32"/>
          <w:lang w:eastAsia="zh-CN"/>
          <w14:textFill>
            <w14:solidFill>
              <w14:schemeClr w14:val="tx1"/>
            </w14:solidFill>
          </w14:textFill>
        </w:rPr>
        <w:t>初</w:t>
      </w:r>
      <w:r>
        <w:rPr>
          <w:rFonts w:hint="eastAsia" w:ascii="仿宋_GB2312" w:hAnsi="ˎ̥" w:eastAsia="仿宋_GB2312"/>
          <w:color w:val="000000" w:themeColor="text1"/>
          <w:sz w:val="32"/>
          <w:szCs w:val="32"/>
          <w14:textFill>
            <w14:solidFill>
              <w14:schemeClr w14:val="tx1"/>
            </w14:solidFill>
          </w14:textFill>
        </w:rPr>
        <w:t>结余</w:t>
      </w:r>
      <w:r>
        <w:rPr>
          <w:rFonts w:hint="eastAsia" w:ascii="仿宋_GB2312" w:hAnsi="ˎ̥" w:eastAsia="仿宋_GB2312"/>
          <w:color w:val="000000" w:themeColor="text1"/>
          <w:sz w:val="32"/>
          <w:szCs w:val="32"/>
          <w:lang w:eastAsia="zh-CN"/>
          <w14:textFill>
            <w14:solidFill>
              <w14:schemeClr w14:val="tx1"/>
            </w14:solidFill>
          </w14:textFill>
        </w:rPr>
        <w:t>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，较2023年度决算数</w:t>
      </w:r>
      <w:r>
        <w:rPr>
          <w:rFonts w:hint="eastAsia" w:ascii="仿宋_GB2312" w:hAnsi="ˎ̥" w:eastAsia="仿宋_GB2312"/>
          <w:color w:val="000000" w:themeColor="text1"/>
          <w:sz w:val="32"/>
          <w:szCs w:val="32"/>
          <w:lang w:eastAsia="zh-CN"/>
          <w14:textFill>
            <w14:solidFill>
              <w14:schemeClr w14:val="tx1"/>
            </w14:solidFill>
          </w14:textFill>
        </w:rPr>
        <w:t>减少</w:t>
      </w:r>
      <w:r>
        <w:rPr>
          <w:rFonts w:hint="eastAsia" w:ascii="仿宋_GB2312" w:hAnsi="ˎ̥" w:eastAsia="仿宋_GB2312"/>
          <w:color w:val="000000" w:themeColor="text1"/>
          <w:sz w:val="32"/>
          <w:szCs w:val="32"/>
          <w:lang w:val="en-US" w:eastAsia="zh-CN"/>
          <w14:textFill>
            <w14:solidFill>
              <w14:schemeClr w14:val="tx1"/>
            </w14:solidFill>
          </w14:textFill>
        </w:rPr>
        <w:t>106</w:t>
      </w:r>
      <w:r>
        <w:rPr>
          <w:rFonts w:hint="eastAsia" w:ascii="仿宋_GB2312" w:hAnsi="ˎ̥" w:eastAsia="仿宋_GB2312"/>
          <w:color w:val="000000" w:themeColor="text1"/>
          <w:sz w:val="32"/>
          <w:szCs w:val="32"/>
          <w14:textFill>
            <w14:solidFill>
              <w14:schemeClr w14:val="tx1"/>
            </w14:solidFill>
          </w14:textFill>
        </w:rPr>
        <w:t>万元，与上年</w:t>
      </w:r>
      <w:r>
        <w:rPr>
          <w:rFonts w:hint="eastAsia" w:ascii="仿宋_GB2312" w:hAnsi="ˎ̥" w:eastAsia="仿宋_GB2312"/>
          <w:color w:val="000000" w:themeColor="text1"/>
          <w:sz w:val="32"/>
          <w:szCs w:val="32"/>
          <w:lang w:eastAsia="zh-CN"/>
          <w14:textFill>
            <w14:solidFill>
              <w14:schemeClr w14:val="tx1"/>
            </w14:solidFill>
          </w14:textFill>
        </w:rPr>
        <w:t>相比有所下降</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财政拨款年末结转结余</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万元，主要是202</w:t>
      </w:r>
      <w:r>
        <w:rPr>
          <w:rFonts w:hint="eastAsia" w:ascii="仿宋_GB2312" w:hAnsi="ˎ̥" w:eastAsia="仿宋_GB2312"/>
          <w:color w:val="000000" w:themeColor="text1"/>
          <w:sz w:val="32"/>
          <w:szCs w:val="32"/>
          <w:lang w:val="en-US" w:eastAsia="zh-CN"/>
          <w14:textFill>
            <w14:solidFill>
              <w14:schemeClr w14:val="tx1"/>
            </w14:solidFill>
          </w14:textFill>
        </w:rPr>
        <w:t>4</w:t>
      </w:r>
      <w:r>
        <w:rPr>
          <w:rFonts w:hint="eastAsia" w:ascii="仿宋_GB2312" w:hAnsi="ˎ̥" w:eastAsia="仿宋_GB2312"/>
          <w:color w:val="000000" w:themeColor="text1"/>
          <w:sz w:val="32"/>
          <w:szCs w:val="32"/>
          <w14:textFill>
            <w14:solidFill>
              <w14:schemeClr w14:val="tx1"/>
            </w14:solidFill>
          </w14:textFill>
        </w:rPr>
        <w:t>年年</w:t>
      </w:r>
      <w:r>
        <w:rPr>
          <w:rFonts w:hint="eastAsia" w:ascii="仿宋_GB2312" w:hAnsi="ˎ̥" w:eastAsia="仿宋_GB2312"/>
          <w:color w:val="000000" w:themeColor="text1"/>
          <w:sz w:val="32"/>
          <w:szCs w:val="32"/>
          <w:lang w:eastAsia="zh-CN"/>
          <w14:textFill>
            <w14:solidFill>
              <w14:schemeClr w14:val="tx1"/>
            </w14:solidFill>
          </w14:textFill>
        </w:rPr>
        <w:t>末</w:t>
      </w:r>
      <w:r>
        <w:rPr>
          <w:rFonts w:hint="eastAsia" w:ascii="仿宋_GB2312" w:hAnsi="ˎ̥" w:eastAsia="仿宋_GB2312"/>
          <w:color w:val="000000" w:themeColor="text1"/>
          <w:sz w:val="32"/>
          <w:szCs w:val="32"/>
          <w14:textFill>
            <w14:solidFill>
              <w14:schemeClr w14:val="tx1"/>
            </w14:solidFill>
          </w14:textFill>
        </w:rPr>
        <w:t>结余</w:t>
      </w:r>
      <w:r>
        <w:rPr>
          <w:rFonts w:hint="eastAsia" w:ascii="仿宋_GB2312" w:hAnsi="ˎ̥" w:eastAsia="仿宋_GB2312"/>
          <w:color w:val="000000" w:themeColor="text1"/>
          <w:sz w:val="32"/>
          <w:szCs w:val="32"/>
          <w:lang w:eastAsia="zh-CN"/>
          <w14:textFill>
            <w14:solidFill>
              <w14:schemeClr w14:val="tx1"/>
            </w14:solidFill>
          </w14:textFill>
        </w:rPr>
        <w:t>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，较2023年度决算数</w:t>
      </w:r>
      <w:r>
        <w:rPr>
          <w:rFonts w:hint="eastAsia" w:ascii="仿宋_GB2312" w:hAnsi="ˎ̥" w:eastAsia="仿宋_GB2312"/>
          <w:color w:val="000000" w:themeColor="text1"/>
          <w:sz w:val="32"/>
          <w:szCs w:val="32"/>
          <w:lang w:eastAsia="zh-CN"/>
          <w14:textFill>
            <w14:solidFill>
              <w14:schemeClr w14:val="tx1"/>
            </w14:solidFill>
          </w14:textFill>
        </w:rPr>
        <w:t>减少</w:t>
      </w:r>
      <w:r>
        <w:rPr>
          <w:rFonts w:hint="eastAsia" w:ascii="仿宋_GB2312" w:hAnsi="ˎ̥" w:eastAsia="仿宋_GB2312"/>
          <w:color w:val="000000" w:themeColor="text1"/>
          <w:sz w:val="32"/>
          <w:szCs w:val="32"/>
          <w:lang w:val="en-US" w:eastAsia="zh-CN"/>
          <w14:textFill>
            <w14:solidFill>
              <w14:schemeClr w14:val="tx1"/>
            </w14:solidFill>
          </w14:textFill>
        </w:rPr>
        <w:t>106</w:t>
      </w:r>
      <w:r>
        <w:rPr>
          <w:rFonts w:hint="eastAsia" w:ascii="仿宋_GB2312" w:hAnsi="ˎ̥" w:eastAsia="仿宋_GB2312"/>
          <w:color w:val="000000" w:themeColor="text1"/>
          <w:sz w:val="32"/>
          <w:szCs w:val="32"/>
          <w14:textFill>
            <w14:solidFill>
              <w14:schemeClr w14:val="tx1"/>
            </w14:solidFill>
          </w14:textFill>
        </w:rPr>
        <w:t>万元，与上年</w:t>
      </w:r>
      <w:r>
        <w:rPr>
          <w:rFonts w:hint="eastAsia" w:ascii="仿宋_GB2312" w:hAnsi="ˎ̥" w:eastAsia="仿宋_GB2312"/>
          <w:color w:val="000000" w:themeColor="text1"/>
          <w:sz w:val="32"/>
          <w:szCs w:val="32"/>
          <w:lang w:eastAsia="zh-CN"/>
          <w14:textFill>
            <w14:solidFill>
              <w14:schemeClr w14:val="tx1"/>
            </w14:solidFill>
          </w14:textFill>
        </w:rPr>
        <w:t>相比有所下降</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bookmarkStart w:id="78" w:name="_Toc17398_WPSOffice_Level2"/>
      <w:bookmarkStart w:id="79" w:name="_Toc13694_WPSOffice_Level2"/>
      <w:bookmarkStart w:id="80" w:name="_Toc23005_WPSOffice_Level2"/>
      <w:bookmarkStart w:id="81" w:name="_Toc9989_WPSOffice_Level2"/>
      <w:bookmarkStart w:id="82" w:name="_Toc21737_WPSOffice_Level2"/>
      <w:bookmarkStart w:id="83" w:name="_Toc19665_WPSOffice_Level2"/>
      <w:r>
        <w:rPr>
          <w:rFonts w:hint="eastAsia" w:ascii="楷体" w:hAnsi="楷体" w:eastAsia="楷体" w:cs="楷体"/>
          <w:color w:val="000000" w:themeColor="text1"/>
          <w:sz w:val="32"/>
          <w:szCs w:val="32"/>
          <w14:textFill>
            <w14:solidFill>
              <w14:schemeClr w14:val="tx1"/>
            </w14:solidFill>
          </w14:textFill>
        </w:rPr>
        <w:t>（一）一般公共预算财政拨款支出决算总体情况</w:t>
      </w:r>
      <w:bookmarkEnd w:id="78"/>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年度一般公共预算财政拨款支出</w:t>
      </w:r>
      <w:r>
        <w:rPr>
          <w:rFonts w:hint="default" w:ascii="仿宋_GB2312" w:hAnsi="ˎ̥" w:eastAsia="仿宋_GB2312"/>
          <w:color w:val="000000" w:themeColor="text1"/>
          <w:sz w:val="32"/>
          <w:szCs w:val="32"/>
          <w:lang w:val="en-US"/>
          <w14:textFill>
            <w14:solidFill>
              <w14:schemeClr w14:val="tx1"/>
            </w14:solidFill>
          </w14:textFill>
        </w:rPr>
        <w:t>3,507.09</w:t>
      </w:r>
      <w:r>
        <w:rPr>
          <w:rFonts w:hint="eastAsia" w:ascii="仿宋_GB2312" w:hAnsi="ˎ̥" w:eastAsia="仿宋_GB2312"/>
          <w:color w:val="000000" w:themeColor="text1"/>
          <w:sz w:val="32"/>
          <w:szCs w:val="32"/>
          <w14:textFill>
            <w14:solidFill>
              <w14:schemeClr w14:val="tx1"/>
            </w14:solidFill>
          </w14:textFill>
        </w:rPr>
        <w:t>万元，占本年支出合计的</w:t>
      </w:r>
      <w:r>
        <w:rPr>
          <w:rFonts w:hint="eastAsia" w:ascii="仿宋_GB2312" w:hAnsi="ˎ̥" w:eastAsia="仿宋_GB2312"/>
          <w:color w:val="000000" w:themeColor="text1"/>
          <w:sz w:val="32"/>
          <w:szCs w:val="32"/>
          <w:lang w:val="en-US" w:eastAsia="zh-CN"/>
          <w14:textFill>
            <w14:solidFill>
              <w14:schemeClr w14:val="tx1"/>
            </w14:solidFill>
          </w14:textFill>
        </w:rPr>
        <w:t>99.59</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年度相比，一般公共预算财政拨款支出增加</w:t>
      </w:r>
      <w:r>
        <w:rPr>
          <w:rFonts w:hint="eastAsia" w:ascii="仿宋_GB2312" w:hAnsi="ˎ̥" w:eastAsia="仿宋_GB2312"/>
          <w:color w:val="000000" w:themeColor="text1"/>
          <w:sz w:val="32"/>
          <w:szCs w:val="32"/>
          <w:lang w:val="en-US" w:eastAsia="zh-CN"/>
          <w14:textFill>
            <w14:solidFill>
              <w14:schemeClr w14:val="tx1"/>
            </w14:solidFill>
          </w14:textFill>
        </w:rPr>
        <w:t>509.05</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16.98</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eastAsia="zh-CN"/>
          <w14:textFill>
            <w14:solidFill>
              <w14:schemeClr w14:val="tx1"/>
            </w14:solidFill>
          </w14:textFill>
        </w:rPr>
        <w:t>申请盘活存量资金来支付</w:t>
      </w:r>
      <w:r>
        <w:rPr>
          <w:rFonts w:hint="eastAsia" w:ascii="仿宋_GB2312" w:hAnsi="ˎ̥" w:eastAsia="仿宋_GB2312"/>
          <w:color w:val="000000" w:themeColor="text1"/>
          <w:sz w:val="32"/>
          <w:szCs w:val="32"/>
          <w:lang w:val="en-US" w:eastAsia="zh-CN"/>
          <w14:textFill>
            <w14:solidFill>
              <w14:schemeClr w14:val="tx1"/>
            </w14:solidFill>
          </w14:textFill>
        </w:rPr>
        <w:t>2024年项目支出费用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bookmarkStart w:id="84" w:name="_Toc23864_WPSOffice_Level2"/>
      <w:bookmarkStart w:id="85" w:name="_Toc27767_WPSOffice_Level2"/>
      <w:bookmarkStart w:id="86" w:name="_Toc2711_WPSOffice_Level2"/>
      <w:bookmarkStart w:id="87" w:name="_Toc18793_WPSOffice_Level2"/>
      <w:bookmarkStart w:id="88" w:name="_Toc19075_WPSOffice_Level2"/>
      <w:bookmarkStart w:id="89" w:name="_Toc19535_WPSOffice_Level2"/>
      <w:r>
        <w:rPr>
          <w:rFonts w:hint="eastAsia" w:ascii="楷体" w:hAnsi="楷体" w:eastAsia="楷体" w:cs="楷体"/>
          <w:color w:val="000000" w:themeColor="text1"/>
          <w:sz w:val="32"/>
          <w:szCs w:val="32"/>
          <w14:textFill>
            <w14:solidFill>
              <w14:schemeClr w14:val="tx1"/>
            </w14:solidFill>
          </w14:textFill>
        </w:rPr>
        <w:t>（二）一般公共预算财政拨款支出决算结构情况</w:t>
      </w:r>
      <w:bookmarkEnd w:id="84"/>
      <w:bookmarkEnd w:id="85"/>
      <w:bookmarkEnd w:id="86"/>
      <w:bookmarkEnd w:id="87"/>
      <w:bookmarkEnd w:id="88"/>
      <w:bookmarkEnd w:id="89"/>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年度一般公共预算财政拨款支出</w:t>
      </w:r>
      <w:r>
        <w:rPr>
          <w:rFonts w:hint="default" w:ascii="仿宋_GB2312" w:hAnsi="ˎ̥" w:eastAsia="仿宋_GB2312"/>
          <w:color w:val="000000" w:themeColor="text1"/>
          <w:sz w:val="32"/>
          <w:szCs w:val="32"/>
          <w:lang w:val="en-US"/>
          <w14:textFill>
            <w14:solidFill>
              <w14:schemeClr w14:val="tx1"/>
            </w14:solidFill>
          </w14:textFill>
        </w:rPr>
        <w:t>3,507.09</w:t>
      </w:r>
      <w:r>
        <w:rPr>
          <w:rFonts w:hint="eastAsia" w:ascii="仿宋_GB2312" w:hAnsi="ˎ̥" w:eastAsia="仿宋_GB2312"/>
          <w:color w:val="000000" w:themeColor="text1"/>
          <w:sz w:val="32"/>
          <w:szCs w:val="32"/>
          <w14:textFill>
            <w14:solidFill>
              <w14:schemeClr w14:val="tx1"/>
            </w14:solidFill>
          </w14:textFill>
        </w:rPr>
        <w:t>万元，主要用于以下方面：</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2975.05</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84.83</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b/>
          <w:color w:val="000000" w:themeColor="text1"/>
          <w:sz w:val="32"/>
          <w:szCs w:val="32"/>
          <w14:textFill>
            <w14:solidFill>
              <w14:schemeClr w14:val="tx1"/>
            </w14:solidFill>
          </w14:textFill>
        </w:rPr>
        <w:t>社会保障和就业（类）</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142.97</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4.08</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b/>
          <w:bCs/>
          <w:color w:val="000000" w:themeColor="text1"/>
          <w:sz w:val="32"/>
          <w:szCs w:val="32"/>
          <w:lang w:eastAsia="zh-CN"/>
          <w14:textFill>
            <w14:solidFill>
              <w14:schemeClr w14:val="tx1"/>
            </w14:solidFill>
          </w14:textFill>
        </w:rPr>
        <w:t>卫生健康（类）支出</w:t>
      </w:r>
      <w:r>
        <w:rPr>
          <w:rFonts w:hint="eastAsia" w:ascii="仿宋_GB2312" w:hAnsi="ˎ̥" w:eastAsia="仿宋_GB2312"/>
          <w:b w:val="0"/>
          <w:bCs w:val="0"/>
          <w:color w:val="000000" w:themeColor="text1"/>
          <w:sz w:val="32"/>
          <w:szCs w:val="32"/>
          <w:lang w:val="en-US" w:eastAsia="zh-CN"/>
          <w14:textFill>
            <w14:solidFill>
              <w14:schemeClr w14:val="tx1"/>
            </w14:solidFill>
          </w14:textFill>
        </w:rPr>
        <w:t>80.47万元，占2.29%；</w:t>
      </w:r>
      <w:r>
        <w:rPr>
          <w:rFonts w:hint="eastAsia" w:ascii="仿宋_GB2312" w:hAnsi="ˎ̥" w:eastAsia="仿宋_GB2312"/>
          <w:b/>
          <w:bCs/>
          <w:color w:val="000000" w:themeColor="text1"/>
          <w:sz w:val="32"/>
          <w:szCs w:val="32"/>
          <w:lang w:eastAsia="zh-CN"/>
          <w14:textFill>
            <w14:solidFill>
              <w14:schemeClr w14:val="tx1"/>
            </w14:solidFill>
          </w14:textFill>
        </w:rPr>
        <w:t>节能环保（类）支出</w:t>
      </w:r>
      <w:r>
        <w:rPr>
          <w:rFonts w:hint="eastAsia" w:ascii="仿宋_GB2312" w:hAnsi="ˎ̥" w:eastAsia="仿宋_GB2312"/>
          <w:b w:val="0"/>
          <w:bCs w:val="0"/>
          <w:color w:val="000000" w:themeColor="text1"/>
          <w:sz w:val="32"/>
          <w:szCs w:val="32"/>
          <w:lang w:val="en-US" w:eastAsia="zh-CN"/>
          <w14:textFill>
            <w14:solidFill>
              <w14:schemeClr w14:val="tx1"/>
            </w14:solidFill>
          </w14:textFill>
        </w:rPr>
        <w:t>117.35万元，占3.35%；</w:t>
      </w:r>
      <w:r>
        <w:rPr>
          <w:rFonts w:hint="eastAsia" w:ascii="仿宋_GB2312" w:hAnsi="ˎ̥" w:eastAsia="仿宋_GB2312"/>
          <w:b/>
          <w:bCs/>
          <w:color w:val="000000" w:themeColor="text1"/>
          <w:sz w:val="32"/>
          <w:szCs w:val="32"/>
          <w:lang w:val="en-US" w:eastAsia="zh-CN"/>
          <w14:textFill>
            <w14:solidFill>
              <w14:schemeClr w14:val="tx1"/>
            </w14:solidFill>
          </w14:textFill>
        </w:rPr>
        <w:t>自然资源海洋气象（类）等支出</w:t>
      </w:r>
      <w:r>
        <w:rPr>
          <w:rFonts w:hint="eastAsia" w:ascii="仿宋_GB2312" w:hAnsi="ˎ̥" w:eastAsia="仿宋_GB2312"/>
          <w:b w:val="0"/>
          <w:bCs w:val="0"/>
          <w:color w:val="000000" w:themeColor="text1"/>
          <w:sz w:val="32"/>
          <w:szCs w:val="32"/>
          <w:lang w:val="en-US" w:eastAsia="zh-CN"/>
          <w14:textFill>
            <w14:solidFill>
              <w14:schemeClr w14:val="tx1"/>
            </w14:solidFill>
          </w14:textFill>
        </w:rPr>
        <w:t>146.13万元，占4.17%</w:t>
      </w:r>
      <w:r>
        <w:rPr>
          <w:rFonts w:hint="eastAsia" w:ascii="仿宋_GB2312" w:hAnsi="ˎ̥" w:eastAsia="仿宋_GB2312"/>
          <w:b/>
          <w:bCs/>
          <w:color w:val="000000" w:themeColor="text1"/>
          <w:sz w:val="32"/>
          <w:szCs w:val="32"/>
          <w14:textFill>
            <w14:solidFill>
              <w14:schemeClr w14:val="tx1"/>
            </w14:solidFill>
          </w14:textFill>
        </w:rPr>
        <w:t>住房保障（类）</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45.12</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1.28</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（注</w:t>
      </w:r>
      <w:r>
        <w:rPr>
          <w:rFonts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根据各</w:t>
      </w:r>
      <w:r>
        <w:rPr>
          <w:rFonts w:hint="eastAsia" w:ascii="仿宋_GB2312" w:hAnsi="ˎ̥" w:eastAsia="仿宋_GB2312"/>
          <w:color w:val="000000" w:themeColor="text1"/>
          <w:sz w:val="32"/>
          <w:szCs w:val="32"/>
          <w:lang w:val="en-US" w:eastAsia="zh-CN"/>
          <w14:textFill>
            <w14:solidFill>
              <w14:schemeClr w14:val="tx1"/>
            </w14:solidFill>
          </w14:textFill>
        </w:rPr>
        <w:t>预算</w:t>
      </w:r>
      <w:r>
        <w:rPr>
          <w:rFonts w:hint="eastAsia" w:ascii="仿宋_GB2312" w:hAnsi="ˎ̥" w:eastAsia="仿宋_GB2312"/>
          <w:color w:val="000000" w:themeColor="text1"/>
          <w:sz w:val="32"/>
          <w:szCs w:val="32"/>
          <w14:textFill>
            <w14:solidFill>
              <w14:schemeClr w14:val="tx1"/>
            </w14:solidFill>
          </w14:textFill>
        </w:rPr>
        <w:t>部门</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单位实际支出涉及的支出功能分类类级科目填列</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bookmarkStart w:id="90" w:name="_Toc21701_WPSOffice_Level2"/>
      <w:bookmarkStart w:id="91" w:name="_Toc25136_WPSOffice_Level2"/>
      <w:bookmarkStart w:id="92" w:name="_Toc22318_WPSOffice_Level2"/>
      <w:bookmarkStart w:id="93" w:name="_Toc15415_WPSOffice_Level2"/>
      <w:bookmarkStart w:id="94" w:name="_Toc29364_WPSOffice_Level2"/>
      <w:bookmarkStart w:id="95" w:name="_Toc9502_WPSOffice_Level2"/>
      <w:r>
        <w:rPr>
          <w:rFonts w:hint="eastAsia" w:ascii="楷体" w:hAnsi="楷体" w:eastAsia="楷体" w:cs="楷体"/>
          <w:color w:val="000000" w:themeColor="text1"/>
          <w:sz w:val="32"/>
          <w:szCs w:val="32"/>
          <w14:textFill>
            <w14:solidFill>
              <w14:schemeClr w14:val="tx1"/>
            </w14:solidFill>
          </w14:textFill>
        </w:rPr>
        <w:t>（三）一般公共预算财政拨款支出决算具体情况</w:t>
      </w:r>
      <w:bookmarkEnd w:id="90"/>
      <w:bookmarkEnd w:id="91"/>
      <w:bookmarkEnd w:id="92"/>
      <w:bookmarkEnd w:id="93"/>
      <w:bookmarkEnd w:id="94"/>
      <w:bookmarkEnd w:id="95"/>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年度一般公共预算财政拨款支出年初预算为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3215.03</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3,507.09</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109.08</w:t>
      </w:r>
      <w:r>
        <w:rPr>
          <w:rFonts w:hint="eastAsia" w:ascii="仿宋_GB2312" w:hAnsi="ˎ̥" w:eastAsia="仿宋_GB2312"/>
          <w:color w:val="000000" w:themeColor="text1"/>
          <w:sz w:val="32"/>
          <w:szCs w:val="32"/>
          <w14:textFill>
            <w14:solidFill>
              <w14:schemeClr w14:val="tx1"/>
            </w14:solidFill>
          </w14:textFill>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1.</w:t>
      </w:r>
      <w:r>
        <w:rPr>
          <w:rFonts w:hint="eastAsia" w:ascii="仿宋_GB2312" w:hAnsi="ˎ̥" w:eastAsia="仿宋_GB2312"/>
          <w:b/>
          <w:color w:val="000000" w:themeColor="text1"/>
          <w:sz w:val="32"/>
          <w:szCs w:val="32"/>
          <w14:textFill>
            <w14:solidFill>
              <w14:schemeClr w14:val="tx1"/>
            </w14:solidFill>
          </w14:textFill>
        </w:rPr>
        <w:t>一般公共服务（类）人大事务（款）</w:t>
      </w:r>
      <w:r>
        <w:rPr>
          <w:rFonts w:hint="eastAsia" w:ascii="仿宋_GB2312" w:hAnsi="ˎ̥" w:eastAsia="仿宋_GB2312"/>
          <w:b/>
          <w:color w:val="000000" w:themeColor="text1"/>
          <w:sz w:val="32"/>
          <w:szCs w:val="32"/>
          <w:lang w:eastAsia="zh-CN"/>
          <w14:textFill>
            <w14:solidFill>
              <w14:schemeClr w14:val="tx1"/>
            </w14:solidFill>
          </w14:textFill>
        </w:rPr>
        <w:t>一般行政管理事务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86.24</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102.03</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118.31</w:t>
      </w:r>
      <w:r>
        <w:rPr>
          <w:rFonts w:hint="eastAsia" w:ascii="仿宋_GB2312" w:hAnsi="ˎ̥" w:eastAsia="仿宋_GB2312"/>
          <w:color w:val="000000" w:themeColor="text1"/>
          <w:sz w:val="32"/>
          <w:szCs w:val="32"/>
          <w14:textFill>
            <w14:solidFill>
              <w14:schemeClr w14:val="tx1"/>
            </w14:solidFill>
          </w14:textFill>
        </w:rPr>
        <w:t>%。决算数大于预算数的主要原因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2024年年初财政批复86.24万元，不足以支付派驻区武装部安保人员服务费，所以通过盘活资金下达18.31万元，导致决算数大于预算数。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2.</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w:t>
      </w:r>
      <w:r>
        <w:rPr>
          <w:rFonts w:hint="eastAsia" w:ascii="仿宋_GB2312" w:hAnsi="ˎ̥" w:eastAsia="仿宋_GB2312"/>
          <w:b/>
          <w:color w:val="000000" w:themeColor="text1"/>
          <w:sz w:val="32"/>
          <w:szCs w:val="32"/>
          <w:lang w:eastAsia="zh-CN"/>
          <w14:textFill>
            <w14:solidFill>
              <w14:schemeClr w14:val="tx1"/>
            </w14:solidFill>
          </w14:textFill>
        </w:rPr>
        <w:t>行政运行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474.62</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434.89</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91.63</w:t>
      </w:r>
      <w:r>
        <w:rPr>
          <w:rFonts w:hint="eastAsia" w:ascii="仿宋_GB2312" w:hAnsi="ˎ̥" w:eastAsia="仿宋_GB2312"/>
          <w:color w:val="000000" w:themeColor="text1"/>
          <w:sz w:val="32"/>
          <w:szCs w:val="32"/>
          <w14:textFill>
            <w14:solidFill>
              <w14:schemeClr w14:val="tx1"/>
            </w14:solidFill>
          </w14:textFill>
        </w:rPr>
        <w:t>%。决算数</w:t>
      </w:r>
      <w:r>
        <w:rPr>
          <w:rFonts w:hint="eastAsia" w:ascii="仿宋_GB2312" w:hAnsi="ˎ̥" w:eastAsia="仿宋_GB2312"/>
          <w:color w:val="000000" w:themeColor="text1"/>
          <w:sz w:val="32"/>
          <w:szCs w:val="32"/>
          <w:lang w:eastAsia="zh-CN"/>
          <w14:textFill>
            <w14:solidFill>
              <w14:schemeClr w14:val="tx1"/>
            </w14:solidFill>
          </w14:textFill>
        </w:rPr>
        <w:t>小</w:t>
      </w:r>
      <w:r>
        <w:rPr>
          <w:rFonts w:hint="eastAsia" w:ascii="仿宋_GB2312" w:hAnsi="ˎ̥" w:eastAsia="仿宋_GB2312"/>
          <w:color w:val="000000" w:themeColor="text1"/>
          <w:sz w:val="32"/>
          <w:szCs w:val="32"/>
          <w14:textFill>
            <w14:solidFill>
              <w14:schemeClr w14:val="tx1"/>
            </w14:solidFill>
          </w14:textFill>
        </w:rPr>
        <w:t>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ˎ̥" w:eastAsia="仿宋_GB2312"/>
          <w:color w:val="000000" w:themeColor="text1"/>
          <w:sz w:val="32"/>
          <w:szCs w:val="32"/>
          <w:lang w:val="en-US" w:eastAsia="zh-CN"/>
          <w14:textFill>
            <w14:solidFill>
              <w14:schemeClr w14:val="tx1"/>
            </w14:solidFill>
          </w14:textFill>
        </w:rPr>
        <w:t>在编人员变动幅度大，导致工资奖金津补贴预算未能执行完成全部预算经费。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一般公共服务（类）政府办公厅（室）及相关机构事务（款）一般行政管理事务（项）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1814.29</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2212.76</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121.96</w:t>
      </w:r>
      <w:r>
        <w:rPr>
          <w:rFonts w:hint="eastAsia" w:ascii="仿宋_GB2312" w:hAnsi="ˎ̥" w:eastAsia="仿宋_GB2312"/>
          <w:color w:val="000000" w:themeColor="text1"/>
          <w:sz w:val="32"/>
          <w:szCs w:val="32"/>
          <w14:textFill>
            <w14:solidFill>
              <w14:schemeClr w14:val="tx1"/>
            </w14:solidFill>
          </w14:textFill>
        </w:rPr>
        <w:t>%。决算数</w:t>
      </w:r>
      <w:r>
        <w:rPr>
          <w:rFonts w:hint="eastAsia" w:ascii="仿宋_GB2312" w:hAnsi="ˎ̥" w:eastAsia="仿宋_GB2312"/>
          <w:color w:val="000000" w:themeColor="text1"/>
          <w:sz w:val="32"/>
          <w:szCs w:val="32"/>
          <w:lang w:eastAsia="zh-CN"/>
          <w14:textFill>
            <w14:solidFill>
              <w14:schemeClr w14:val="tx1"/>
            </w14:solidFill>
          </w14:textFill>
        </w:rPr>
        <w:t>大</w:t>
      </w:r>
      <w:r>
        <w:rPr>
          <w:rFonts w:hint="eastAsia" w:ascii="仿宋_GB2312" w:hAnsi="ˎ̥" w:eastAsia="仿宋_GB2312"/>
          <w:color w:val="000000" w:themeColor="text1"/>
          <w:sz w:val="32"/>
          <w:szCs w:val="32"/>
          <w14:textFill>
            <w14:solidFill>
              <w14:schemeClr w14:val="tx1"/>
            </w14:solidFill>
          </w14:textFill>
        </w:rPr>
        <w:t>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ˎ̥" w:eastAsia="仿宋_GB2312"/>
          <w:color w:val="000000" w:themeColor="text1"/>
          <w:sz w:val="32"/>
          <w:szCs w:val="32"/>
          <w:lang w:val="en-US" w:eastAsia="zh-CN"/>
          <w14:textFill>
            <w14:solidFill>
              <w14:schemeClr w14:val="tx1"/>
            </w14:solidFill>
          </w14:textFill>
        </w:rPr>
        <w:t>2024年年初财政批复1814.29万元，不足以支付我办所开展项目工作经费，所以通过盘活资金下达189.64万元。如：支付我办原始凭证内审费用23万元等，导致决算数大于预算数。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4.</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w:t>
      </w:r>
      <w:r>
        <w:rPr>
          <w:rFonts w:hint="eastAsia" w:ascii="仿宋_GB2312" w:hAnsi="ˎ̥" w:eastAsia="仿宋_GB2312"/>
          <w:b/>
          <w:color w:val="000000" w:themeColor="text1"/>
          <w:sz w:val="32"/>
          <w:szCs w:val="32"/>
          <w:lang w:eastAsia="zh-CN"/>
          <w14:textFill>
            <w14:solidFill>
              <w14:schemeClr w14:val="tx1"/>
            </w14:solidFill>
          </w14:textFill>
        </w:rPr>
        <w:t>事业运行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年初预算为27.36万元，支出决算为8.07万元，完成年初预算的29.5%。决算数小于预算数的主要原因是2024年7月将该职能划转给区委社工部，导致我单位无事业人员工资发放，所以决算数小于预算数。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5.</w:t>
      </w:r>
      <w:r>
        <w:rPr>
          <w:rFonts w:hint="eastAsia" w:ascii="仿宋_GB2312" w:hAnsi="ˎ̥" w:eastAsia="仿宋_GB2312"/>
          <w:b/>
          <w:color w:val="000000" w:themeColor="text1"/>
          <w:sz w:val="32"/>
          <w:szCs w:val="32"/>
          <w14:textFill>
            <w14:solidFill>
              <w14:schemeClr w14:val="tx1"/>
            </w14:solidFill>
          </w14:textFill>
        </w:rPr>
        <w:t>一般公共服务（类）政府办公厅（室）及相关机构事务（款）</w:t>
      </w:r>
      <w:r>
        <w:rPr>
          <w:rFonts w:hint="eastAsia" w:ascii="仿宋_GB2312" w:hAnsi="ˎ̥" w:eastAsia="仿宋_GB2312"/>
          <w:b/>
          <w:color w:val="000000" w:themeColor="text1"/>
          <w:sz w:val="32"/>
          <w:szCs w:val="32"/>
          <w:lang w:eastAsia="zh-CN"/>
          <w14:textFill>
            <w14:solidFill>
              <w14:schemeClr w14:val="tx1"/>
            </w14:solidFill>
          </w14:textFill>
        </w:rPr>
        <w:t>其他政府办公厅（室）及相关机构事务支出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96</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158.38</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164.98</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大</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于预算数的主要原因是2024年年初财政批复</w:t>
      </w:r>
      <w:r>
        <w:rPr>
          <w:rFonts w:hint="eastAsia" w:ascii="仿宋_GB2312" w:hAnsi="ˎ̥" w:eastAsia="仿宋_GB2312"/>
          <w:color w:val="000000" w:themeColor="text1"/>
          <w:sz w:val="32"/>
          <w:szCs w:val="32"/>
          <w:lang w:val="en-US" w:eastAsia="zh-CN"/>
          <w14:textFill>
            <w14:solidFill>
              <w14:schemeClr w14:val="tx1"/>
            </w14:solidFill>
          </w14:textFill>
        </w:rPr>
        <w:t>96</w:t>
      </w:r>
      <w:r>
        <w:rPr>
          <w:rFonts w:hint="default" w:ascii="仿宋_GB2312" w:hAnsi="ˎ̥" w:eastAsia="仿宋_GB2312"/>
          <w:color w:val="000000" w:themeColor="text1"/>
          <w:sz w:val="32"/>
          <w:szCs w:val="32"/>
          <w:lang w:val="en-US" w:eastAsia="zh-CN"/>
          <w14:textFill>
            <w14:solidFill>
              <w14:schemeClr w14:val="tx1"/>
            </w14:solidFill>
          </w14:textFill>
        </w:rPr>
        <w:t>万元，不足以支付我办所开展项目工作经费，所以通过盘活资金下达</w:t>
      </w:r>
      <w:r>
        <w:rPr>
          <w:rFonts w:hint="eastAsia" w:ascii="仿宋_GB2312" w:hAnsi="ˎ̥" w:eastAsia="仿宋_GB2312"/>
          <w:color w:val="000000" w:themeColor="text1"/>
          <w:sz w:val="32"/>
          <w:szCs w:val="32"/>
          <w:lang w:val="en-US" w:eastAsia="zh-CN"/>
          <w14:textFill>
            <w14:solidFill>
              <w14:schemeClr w14:val="tx1"/>
            </w14:solidFill>
          </w14:textFill>
        </w:rPr>
        <w:t>64.92</w:t>
      </w:r>
      <w:r>
        <w:rPr>
          <w:rFonts w:hint="default" w:ascii="仿宋_GB2312" w:hAnsi="ˎ̥" w:eastAsia="仿宋_GB2312"/>
          <w:color w:val="000000" w:themeColor="text1"/>
          <w:sz w:val="32"/>
          <w:szCs w:val="32"/>
          <w:lang w:val="en-US" w:eastAsia="zh-CN"/>
          <w14:textFill>
            <w14:solidFill>
              <w14:schemeClr w14:val="tx1"/>
            </w14:solidFill>
          </w14:textFill>
        </w:rPr>
        <w:t>万元。如：支付2022年天涯年鉴尾款及2023年年鉴费用54.92万元等，导致决算数大于预算数。</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6.</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b/>
          <w:color w:val="000000" w:themeColor="text1"/>
          <w:sz w:val="32"/>
          <w:szCs w:val="32"/>
          <w:lang w:eastAsia="zh-CN"/>
          <w14:textFill>
            <w14:solidFill>
              <w14:schemeClr w14:val="tx1"/>
            </w14:solidFill>
          </w14:textFill>
        </w:rPr>
        <w:t>发展与改革</w:t>
      </w:r>
      <w:r>
        <w:rPr>
          <w:rFonts w:hint="eastAsia" w:ascii="仿宋_GB2312" w:hAnsi="ˎ̥" w:eastAsia="仿宋_GB2312"/>
          <w:b/>
          <w:color w:val="000000" w:themeColor="text1"/>
          <w:sz w:val="32"/>
          <w:szCs w:val="32"/>
          <w14:textFill>
            <w14:solidFill>
              <w14:schemeClr w14:val="tx1"/>
            </w14:solidFill>
          </w14:textFill>
        </w:rPr>
        <w:t>事务（款）</w:t>
      </w:r>
      <w:r>
        <w:rPr>
          <w:rFonts w:hint="eastAsia" w:ascii="仿宋_GB2312" w:hAnsi="ˎ̥" w:eastAsia="仿宋_GB2312"/>
          <w:b/>
          <w:color w:val="000000" w:themeColor="text1"/>
          <w:sz w:val="32"/>
          <w:szCs w:val="32"/>
          <w:lang w:eastAsia="zh-CN"/>
          <w14:textFill>
            <w14:solidFill>
              <w14:schemeClr w14:val="tx1"/>
            </w14:solidFill>
          </w14:textFill>
        </w:rPr>
        <w:t>一般行政管理事务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年初预算为0万元，支出决算为3.89万元，完成年初预算的389%。决算数大于预算数的主要原因是2024年7月我单位新增金融发展职能。</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7.</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b/>
          <w:color w:val="000000" w:themeColor="text1"/>
          <w:sz w:val="32"/>
          <w:szCs w:val="32"/>
          <w:lang w:eastAsia="zh-CN"/>
          <w14:textFill>
            <w14:solidFill>
              <w14:schemeClr w14:val="tx1"/>
            </w14:solidFill>
          </w14:textFill>
        </w:rPr>
        <w:t>纪检监察事</w:t>
      </w:r>
      <w:r>
        <w:rPr>
          <w:rFonts w:hint="eastAsia" w:ascii="仿宋_GB2312" w:hAnsi="ˎ̥" w:eastAsia="仿宋_GB2312"/>
          <w:b/>
          <w:color w:val="000000" w:themeColor="text1"/>
          <w:sz w:val="32"/>
          <w:szCs w:val="32"/>
          <w14:textFill>
            <w14:solidFill>
              <w14:schemeClr w14:val="tx1"/>
            </w14:solidFill>
          </w14:textFill>
        </w:rPr>
        <w:t>务（款）</w:t>
      </w:r>
      <w:r>
        <w:rPr>
          <w:rFonts w:hint="eastAsia" w:ascii="仿宋_GB2312" w:hAnsi="ˎ̥" w:eastAsia="仿宋_GB2312"/>
          <w:b/>
          <w:color w:val="000000" w:themeColor="text1"/>
          <w:sz w:val="32"/>
          <w:szCs w:val="32"/>
          <w:lang w:eastAsia="zh-CN"/>
          <w14:textFill>
            <w14:solidFill>
              <w14:schemeClr w14:val="tx1"/>
            </w14:solidFill>
          </w14:textFill>
        </w:rPr>
        <w:t>行政运行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w:t>
      </w:r>
      <w:r>
        <w:rPr>
          <w:rFonts w:hint="default" w:ascii="仿宋_GB2312" w:hAnsi="ˎ̥" w:eastAsia="仿宋_GB2312"/>
          <w:color w:val="000000" w:themeColor="text1"/>
          <w:sz w:val="32"/>
          <w:szCs w:val="32"/>
          <w:lang w:val="en" w:eastAsia="zh-CN"/>
          <w14:textFill>
            <w14:solidFill>
              <w14:schemeClr w14:val="tx1"/>
            </w14:solidFill>
          </w14:textFill>
        </w:rPr>
        <w:t>46.01</w:t>
      </w:r>
      <w:r>
        <w:rPr>
          <w:rFonts w:hint="eastAsia" w:ascii="仿宋_GB2312" w:hAnsi="ˎ̥" w:eastAsia="仿宋_GB2312"/>
          <w:color w:val="000000" w:themeColor="text1"/>
          <w:sz w:val="32"/>
          <w:szCs w:val="32"/>
          <w:lang w:val="en-US" w:eastAsia="zh-CN"/>
          <w14:textFill>
            <w14:solidFill>
              <w14:schemeClr w14:val="tx1"/>
            </w14:solidFill>
          </w14:textFill>
        </w:rPr>
        <w:t>万元，支出决算为10.91万元，完成年初预算的</w:t>
      </w:r>
      <w:r>
        <w:rPr>
          <w:rFonts w:hint="default" w:ascii="仿宋_GB2312" w:hAnsi="ˎ̥" w:eastAsia="仿宋_GB2312"/>
          <w:color w:val="000000" w:themeColor="text1"/>
          <w:sz w:val="32"/>
          <w:szCs w:val="32"/>
          <w:lang w:val="en" w:eastAsia="zh-CN"/>
          <w14:textFill>
            <w14:solidFill>
              <w14:schemeClr w14:val="tx1"/>
            </w14:solidFill>
          </w14:textFill>
        </w:rPr>
        <w:t>23.71</w:t>
      </w:r>
      <w:r>
        <w:rPr>
          <w:rFonts w:hint="eastAsia" w:ascii="仿宋_GB2312" w:hAnsi="ˎ̥" w:eastAsia="仿宋_GB2312"/>
          <w:color w:val="000000" w:themeColor="text1"/>
          <w:sz w:val="32"/>
          <w:szCs w:val="32"/>
          <w:lang w:val="en-US" w:eastAsia="zh-CN"/>
          <w14:textFill>
            <w14:solidFill>
              <w14:schemeClr w14:val="tx1"/>
            </w14:solidFill>
          </w14:textFill>
        </w:rPr>
        <w:t>%。决算数小于预算数的主要原因是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2024年会议费未支出</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 w:eastAsia="zh-CN"/>
          <w14:textFill>
            <w14:solidFill>
              <w14:schemeClr w14:val="tx1"/>
            </w14:solidFill>
          </w14:textFill>
        </w:rPr>
        <w:t>8.</w:t>
      </w:r>
      <w:r>
        <w:rPr>
          <w:rFonts w:hint="eastAsia" w:ascii="仿宋_GB2312" w:hAnsi="ˎ̥" w:eastAsia="仿宋_GB2312"/>
          <w:b/>
          <w:color w:val="000000" w:themeColor="text1"/>
          <w:sz w:val="32"/>
          <w:szCs w:val="32"/>
          <w14:textFill>
            <w14:solidFill>
              <w14:schemeClr w14:val="tx1"/>
            </w14:solidFill>
          </w14:textFill>
        </w:rPr>
        <w:t>一般公共服务（类）</w:t>
      </w:r>
      <w:r>
        <w:rPr>
          <w:rFonts w:hint="eastAsia" w:ascii="仿宋_GB2312" w:hAnsi="ˎ̥" w:eastAsia="仿宋_GB2312"/>
          <w:b/>
          <w:color w:val="000000" w:themeColor="text1"/>
          <w:sz w:val="32"/>
          <w:szCs w:val="32"/>
          <w:lang w:eastAsia="zh-CN"/>
          <w14:textFill>
            <w14:solidFill>
              <w14:schemeClr w14:val="tx1"/>
            </w14:solidFill>
          </w14:textFill>
        </w:rPr>
        <w:t>信访事务</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信访业务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年初预算为68万元，支出决算为44.1万元，完成年初预算的64.85%。决算数小于预算数的主要原因是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2024年7月将该职能划转给区委社工部</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9.</w:t>
      </w:r>
      <w:r>
        <w:rPr>
          <w:rFonts w:hint="eastAsia" w:ascii="仿宋_GB2312" w:hAnsi="ˎ̥" w:eastAsia="仿宋_GB2312"/>
          <w:b/>
          <w:color w:val="000000" w:themeColor="text1"/>
          <w:sz w:val="32"/>
          <w:szCs w:val="32"/>
          <w:lang w:eastAsia="zh-CN"/>
          <w14:textFill>
            <w14:solidFill>
              <w14:schemeClr w14:val="tx1"/>
            </w14:solidFill>
          </w14:textFill>
        </w:rPr>
        <w:t>社会保障和就业支出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行政事业单位养老支出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机关事业单位基本养老保险缴费支出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年初预算为60.57万元，支出决算为54.66万元，完成年初预算的90.24%。决算数小于预算数的主要原因是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2024年涉及机构改革，人员调动大，导致养老保险缴费支出有结余</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10.</w:t>
      </w:r>
      <w:r>
        <w:rPr>
          <w:rFonts w:hint="eastAsia" w:ascii="仿宋_GB2312" w:hAnsi="ˎ̥" w:eastAsia="仿宋_GB2312"/>
          <w:b/>
          <w:color w:val="000000" w:themeColor="text1"/>
          <w:sz w:val="32"/>
          <w:szCs w:val="32"/>
          <w:lang w:eastAsia="zh-CN"/>
          <w14:textFill>
            <w14:solidFill>
              <w14:schemeClr w14:val="tx1"/>
            </w14:solidFill>
          </w14:textFill>
        </w:rPr>
        <w:t>社会保障和就业支出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行政事业单位养老支出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机关事业单位职业年金缴费支出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年初预算为139.13万元，支出决算为83.5万元，完成年初预算的60.02%。决算数小于预算数的主要原因是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申请职业年金项目预算数有结余，未能执行完成全部预算经费</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11.</w:t>
      </w:r>
      <w:r>
        <w:rPr>
          <w:rFonts w:hint="eastAsia" w:ascii="仿宋_GB2312" w:hAnsi="ˎ̥" w:eastAsia="仿宋_GB2312"/>
          <w:b/>
          <w:color w:val="000000" w:themeColor="text1"/>
          <w:sz w:val="32"/>
          <w:szCs w:val="32"/>
          <w:lang w:eastAsia="zh-CN"/>
          <w14:textFill>
            <w14:solidFill>
              <w14:schemeClr w14:val="tx1"/>
            </w14:solidFill>
          </w14:textFill>
        </w:rPr>
        <w:t>社会保障和就业支出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抚恤</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其他优抚支出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年初预算为6.6万元，支出决算为4.81万元，完成年初预算的72.88%。决算数小于预算数的主要原因是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3名遗属人员2024年领取的养老金有所提高，导致发放的遗属补贴相对应的减少，所以未能完成全部预算经费</w:t>
      </w:r>
      <w:r>
        <w:rPr>
          <w:rFonts w:hint="eastAsia"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12.</w:t>
      </w:r>
      <w:r>
        <w:rPr>
          <w:rFonts w:hint="eastAsia" w:ascii="仿宋_GB2312" w:hAnsi="ˎ̥" w:eastAsia="仿宋_GB2312"/>
          <w:b/>
          <w:color w:val="000000" w:themeColor="text1"/>
          <w:sz w:val="32"/>
          <w:szCs w:val="32"/>
          <w:lang w:eastAsia="zh-CN"/>
          <w14:textFill>
            <w14:solidFill>
              <w14:schemeClr w14:val="tx1"/>
            </w14:solidFill>
          </w14:textFill>
        </w:rPr>
        <w:t>卫生健康支出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公共卫生</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突发公共卫生事件应急处置</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8.48</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8.48</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等</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ˎ̥" w:eastAsia="仿宋_GB2312"/>
          <w:color w:val="000000" w:themeColor="text1"/>
          <w:sz w:val="32"/>
          <w:szCs w:val="32"/>
          <w:lang w:val="en-US" w:eastAsia="zh-CN"/>
          <w14:textFill>
            <w14:solidFill>
              <w14:schemeClr w14:val="tx1"/>
            </w14:solidFill>
          </w14:textFill>
        </w:rPr>
        <w:t>按预算要求支出疫情防控经费</w:t>
      </w:r>
      <w:r>
        <w:rPr>
          <w:rFonts w:hint="default" w:ascii="仿宋_GB2312" w:hAnsi="ˎ̥" w:eastAsia="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13.</w:t>
      </w:r>
      <w:r>
        <w:rPr>
          <w:rFonts w:hint="eastAsia" w:ascii="仿宋_GB2312" w:hAnsi="ˎ̥" w:eastAsia="仿宋_GB2312"/>
          <w:b/>
          <w:color w:val="000000" w:themeColor="text1"/>
          <w:sz w:val="32"/>
          <w:szCs w:val="32"/>
          <w:lang w:eastAsia="zh-CN"/>
          <w14:textFill>
            <w14:solidFill>
              <w14:schemeClr w14:val="tx1"/>
            </w14:solidFill>
          </w14:textFill>
        </w:rPr>
        <w:t>卫生健康支出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行政事业单位医疗</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行政单位医疗</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26.82</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22.35</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83.33</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小</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2024年涉及机构改革，人员调动大，导致养老保险缴费支出有结余。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14.</w:t>
      </w:r>
      <w:r>
        <w:rPr>
          <w:rFonts w:hint="eastAsia" w:ascii="仿宋_GB2312" w:hAnsi="ˎ̥" w:eastAsia="仿宋_GB2312"/>
          <w:b/>
          <w:color w:val="000000" w:themeColor="text1"/>
          <w:sz w:val="32"/>
          <w:szCs w:val="32"/>
          <w:lang w:eastAsia="zh-CN"/>
          <w14:textFill>
            <w14:solidFill>
              <w14:schemeClr w14:val="tx1"/>
            </w14:solidFill>
          </w14:textFill>
        </w:rPr>
        <w:t>卫生健康支出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行政事业单位医疗</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公务员医疗补助</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55.48</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49.65</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89.49</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小</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2024年申请退休人员公补数有结余，未能执行完成全部预算经费。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15.</w:t>
      </w:r>
      <w:r>
        <w:rPr>
          <w:rFonts w:hint="eastAsia" w:ascii="仿宋_GB2312" w:hAnsi="ˎ̥" w:eastAsia="仿宋_GB2312"/>
          <w:b/>
          <w:color w:val="000000" w:themeColor="text1"/>
          <w:sz w:val="32"/>
          <w:szCs w:val="32"/>
          <w:lang w:eastAsia="zh-CN"/>
          <w14:textFill>
            <w14:solidFill>
              <w14:schemeClr w14:val="tx1"/>
            </w14:solidFill>
          </w14:textFill>
        </w:rPr>
        <w:t>节能环保支出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环境保护管理事务</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行政运行</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30</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30</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89.49</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等</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主要用于支付2024年由天涯区五人团组出访日本、香港开展考察招商活动项目费用。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16.</w:t>
      </w:r>
      <w:r>
        <w:rPr>
          <w:rFonts w:hint="eastAsia" w:ascii="仿宋_GB2312" w:hAnsi="ˎ̥" w:eastAsia="仿宋_GB2312"/>
          <w:b/>
          <w:color w:val="000000" w:themeColor="text1"/>
          <w:sz w:val="32"/>
          <w:szCs w:val="32"/>
          <w:lang w:eastAsia="zh-CN"/>
          <w14:textFill>
            <w14:solidFill>
              <w14:schemeClr w14:val="tx1"/>
            </w14:solidFill>
          </w14:textFill>
        </w:rPr>
        <w:t>节能环保支出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其他节能环保支出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其他节能环保支出</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default" w:ascii="仿宋_GB2312" w:hAnsi="ˎ̥" w:eastAsia="仿宋_GB2312"/>
          <w:color w:val="000000" w:themeColor="text1"/>
          <w:sz w:val="32"/>
          <w:szCs w:val="32"/>
          <w:lang w:val="en-US" w:eastAsia="zh-CN"/>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87.35</w:t>
      </w:r>
      <w:r>
        <w:rPr>
          <w:rFonts w:hint="default" w:ascii="仿宋_GB2312" w:hAnsi="ˎ̥" w:eastAsia="仿宋_GB2312"/>
          <w:color w:val="000000" w:themeColor="text1"/>
          <w:sz w:val="32"/>
          <w:szCs w:val="32"/>
          <w:lang w:val="en-US" w:eastAsia="zh-CN"/>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873.5</w:t>
      </w:r>
      <w:r>
        <w:rPr>
          <w:rFonts w:hint="default" w:ascii="仿宋_GB2312" w:hAnsi="ˎ̥" w:eastAsia="仿宋_GB2312"/>
          <w:color w:val="000000" w:themeColor="text1"/>
          <w:sz w:val="32"/>
          <w:szCs w:val="32"/>
          <w:lang w:val="en-US" w:eastAsia="zh-CN"/>
          <w14:textFill>
            <w14:solidFill>
              <w14:schemeClr w14:val="tx1"/>
            </w14:solidFill>
          </w14:textFill>
        </w:rPr>
        <w:t>%。决算数</w:t>
      </w:r>
      <w:r>
        <w:rPr>
          <w:rFonts w:hint="eastAsia" w:ascii="仿宋_GB2312" w:hAnsi="ˎ̥" w:eastAsia="仿宋_GB2312"/>
          <w:color w:val="000000" w:themeColor="text1"/>
          <w:sz w:val="32"/>
          <w:szCs w:val="32"/>
          <w:lang w:val="en-US" w:eastAsia="zh-CN"/>
          <w14:textFill>
            <w14:solidFill>
              <w14:schemeClr w14:val="tx1"/>
            </w14:solidFill>
          </w14:textFill>
        </w:rPr>
        <w:t>大</w:t>
      </w:r>
      <w:r>
        <w:rPr>
          <w:rFonts w:hint="default" w:ascii="仿宋_GB2312" w:hAnsi="ˎ̥" w:eastAsia="仿宋_GB2312"/>
          <w:color w:val="000000" w:themeColor="text1"/>
          <w:sz w:val="32"/>
          <w:szCs w:val="32"/>
          <w:lang w:val="en-US" w:eastAsia="zh-CN"/>
          <w14:textFill>
            <w14:solidFill>
              <w14:schemeClr w14:val="tx1"/>
            </w14:solidFill>
          </w14:textFill>
        </w:rPr>
        <w:t>于预算数的主要原因是</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我单位2024年7月新增三亚市生态环境局天涯分局的挂靠单位。</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17.</w:t>
      </w:r>
      <w:r>
        <w:rPr>
          <w:rFonts w:hint="eastAsia" w:ascii="仿宋_GB2312" w:hAnsi="ˎ̥" w:eastAsia="仿宋_GB2312"/>
          <w:b/>
          <w:color w:val="000000" w:themeColor="text1"/>
          <w:sz w:val="32"/>
          <w:szCs w:val="32"/>
          <w:lang w:eastAsia="zh-CN"/>
          <w14:textFill>
            <w14:solidFill>
              <w14:schemeClr w14:val="tx1"/>
            </w14:solidFill>
          </w14:textFill>
        </w:rPr>
        <w:t>自然资源海洋气象等支出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自然资源事务</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一般行政管理事务</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年初预算为227.47万元，支出决算为146.13万元，完成年初预算的64.24%。决算数小于预算数的主要原因是因图斑项目和农转用项目未在2024完成，所以未能在2024年支出该项目款项。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18.</w:t>
      </w:r>
      <w:r>
        <w:rPr>
          <w:rFonts w:hint="eastAsia" w:ascii="仿宋_GB2312" w:hAnsi="ˎ̥" w:eastAsia="仿宋_GB2312"/>
          <w:b/>
          <w:color w:val="000000" w:themeColor="text1"/>
          <w:sz w:val="32"/>
          <w:szCs w:val="32"/>
          <w:lang w:eastAsia="zh-CN"/>
          <w14:textFill>
            <w14:solidFill>
              <w14:schemeClr w14:val="tx1"/>
            </w14:solidFill>
          </w14:textFill>
        </w:rPr>
        <w:t>住房保障支出</w:t>
      </w:r>
      <w:r>
        <w:rPr>
          <w:rFonts w:hint="eastAsia" w:ascii="仿宋_GB2312" w:hAnsi="ˎ̥" w:eastAsia="仿宋_GB2312"/>
          <w:b/>
          <w:color w:val="000000" w:themeColor="text1"/>
          <w:sz w:val="32"/>
          <w:szCs w:val="32"/>
          <w14:textFill>
            <w14:solidFill>
              <w14:schemeClr w14:val="tx1"/>
            </w14:solidFill>
          </w14:textFill>
        </w:rPr>
        <w:t>（类）</w:t>
      </w:r>
      <w:r>
        <w:rPr>
          <w:rFonts w:hint="eastAsia" w:ascii="仿宋_GB2312" w:hAnsi="ˎ̥" w:eastAsia="仿宋_GB2312"/>
          <w:b/>
          <w:color w:val="000000" w:themeColor="text1"/>
          <w:sz w:val="32"/>
          <w:szCs w:val="32"/>
          <w:lang w:eastAsia="zh-CN"/>
          <w14:textFill>
            <w14:solidFill>
              <w14:schemeClr w14:val="tx1"/>
            </w14:solidFill>
          </w14:textFill>
        </w:rPr>
        <w:t>住房改革支出</w:t>
      </w:r>
      <w:r>
        <w:rPr>
          <w:rFonts w:hint="eastAsia" w:ascii="仿宋_GB2312" w:hAnsi="ˎ̥" w:eastAsia="仿宋_GB2312"/>
          <w:b/>
          <w:color w:val="000000" w:themeColor="text1"/>
          <w:sz w:val="32"/>
          <w:szCs w:val="32"/>
          <w14:textFill>
            <w14:solidFill>
              <w14:schemeClr w14:val="tx1"/>
            </w14:solidFill>
          </w14:textFill>
        </w:rPr>
        <w:t>（款）</w:t>
      </w:r>
      <w:r>
        <w:rPr>
          <w:rFonts w:hint="eastAsia" w:ascii="仿宋_GB2312" w:hAnsi="ˎ̥" w:eastAsia="仿宋_GB2312"/>
          <w:b/>
          <w:color w:val="000000" w:themeColor="text1"/>
          <w:sz w:val="32"/>
          <w:szCs w:val="32"/>
          <w:lang w:eastAsia="zh-CN"/>
          <w14:textFill>
            <w14:solidFill>
              <w14:schemeClr w14:val="tx1"/>
            </w14:solidFill>
          </w14:textFill>
        </w:rPr>
        <w:t>住房公积金</w:t>
      </w:r>
      <w:r>
        <w:rPr>
          <w:rFonts w:hint="eastAsia" w:ascii="仿宋_GB2312" w:hAnsi="ˎ̥" w:eastAsia="仿宋_GB2312"/>
          <w:b/>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lang w:val="en-US" w:eastAsia="zh-CN"/>
          <w14:textFill>
            <w14:solidFill>
              <w14:schemeClr w14:val="tx1"/>
            </w14:solidFill>
          </w14:textFill>
        </w:rPr>
        <w:t>年初预算为56.42万元，支出决算为45.12万元，完成年初预算的79.97%。决算数小于预算数的主要原因是2023年在编人员的调动导致2024年年底人员减少。</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年度财政拨款基本支出</w:t>
      </w:r>
      <w:r>
        <w:rPr>
          <w:rFonts w:hint="eastAsia" w:ascii="仿宋_GB2312" w:hAnsi="ˎ̥" w:eastAsia="仿宋_GB2312"/>
          <w:color w:val="000000" w:themeColor="text1"/>
          <w:sz w:val="32"/>
          <w:szCs w:val="32"/>
          <w:lang w:val="en-US"/>
          <w14:textFill>
            <w14:solidFill>
              <w14:schemeClr w14:val="tx1"/>
            </w14:solidFill>
          </w14:textFill>
        </w:rPr>
        <w:t>743.97</w:t>
      </w:r>
      <w:r>
        <w:rPr>
          <w:rFonts w:hint="eastAsia" w:ascii="仿宋_GB2312" w:hAnsi="ˎ̥" w:eastAsia="仿宋_GB2312"/>
          <w:color w:val="000000" w:themeColor="text1"/>
          <w:sz w:val="32"/>
          <w:szCs w:val="32"/>
          <w14:textFill>
            <w14:solidFill>
              <w14:schemeClr w14:val="tx1"/>
            </w14:solidFill>
          </w14:textFill>
        </w:rPr>
        <w:t>万元，其中：人员经费</w:t>
      </w:r>
      <w:r>
        <w:rPr>
          <w:rFonts w:ascii="仿宋_GB2312" w:hAnsi="ˎ̥" w:eastAsia="仿宋_GB2312"/>
          <w:color w:val="000000" w:themeColor="text1"/>
          <w:sz w:val="32"/>
          <w:szCs w:val="32"/>
          <w:lang w:val="en-US"/>
          <w14:textFill>
            <w14:solidFill>
              <w14:schemeClr w14:val="tx1"/>
            </w14:solidFill>
          </w14:textFill>
        </w:rPr>
        <w:t>660.97</w:t>
      </w:r>
      <w:r>
        <w:rPr>
          <w:rFonts w:hint="eastAsia" w:ascii="仿宋_GB2312" w:hAnsi="ˎ̥" w:eastAsia="仿宋_GB2312"/>
          <w:color w:val="000000" w:themeColor="text1"/>
          <w:sz w:val="32"/>
          <w:szCs w:val="32"/>
          <w14:textFill>
            <w14:solidFill>
              <w14:schemeClr w14:val="tx1"/>
            </w14:solidFill>
          </w14:textFill>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000000" w:themeColor="text1"/>
          <w:sz w:val="32"/>
          <w:szCs w:val="32"/>
          <w:lang w:val="en-US"/>
          <w14:textFill>
            <w14:solidFill>
              <w14:schemeClr w14:val="tx1"/>
            </w14:solidFill>
          </w14:textFill>
        </w:rPr>
        <w:t>83.00</w:t>
      </w:r>
      <w:r>
        <w:rPr>
          <w:rFonts w:hint="eastAsia" w:ascii="仿宋_GB2312" w:hAnsi="ˎ̥" w:eastAsia="仿宋_GB2312"/>
          <w:color w:val="000000" w:themeColor="text1"/>
          <w:sz w:val="32"/>
          <w:szCs w:val="32"/>
          <w14:textFill>
            <w14:solidFill>
              <w14:schemeClr w14:val="tx1"/>
            </w14:solidFill>
          </w14:textFill>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color w:val="000000" w:themeColor="text1"/>
          <w:sz w:val="32"/>
          <w:szCs w:val="32"/>
          <w:lang w:val="en-US" w:eastAsia="zh-CN"/>
          <w14:textFill>
            <w14:solidFill>
              <w14:schemeClr w14:val="tx1"/>
            </w14:solidFill>
          </w14:textFill>
        </w:rPr>
        <w:t>购</w:t>
      </w:r>
      <w:r>
        <w:rPr>
          <w:rFonts w:hint="eastAsia" w:ascii="仿宋_GB2312" w:hAnsi="ˎ̥" w:eastAsia="仿宋_GB2312"/>
          <w:color w:val="000000" w:themeColor="text1"/>
          <w:sz w:val="32"/>
          <w:szCs w:val="32"/>
          <w14:textFill>
            <w14:solidFill>
              <w14:schemeClr w14:val="tx1"/>
            </w14:solidFill>
          </w14:textFill>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年度政府性基金预算财政拨款支出</w:t>
      </w:r>
      <w:r>
        <w:rPr>
          <w:rFonts w:hint="default" w:ascii="仿宋_GB2312" w:hAnsi="ˎ̥" w:eastAsia="仿宋_GB2312"/>
          <w:color w:val="000000" w:themeColor="text1"/>
          <w:sz w:val="32"/>
          <w:szCs w:val="32"/>
          <w:lang w:val="en-US"/>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万元，占本年支出合计的</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年度相比，政府性基金预算财政拨款支出增加</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万元，增长</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仿宋" w:eastAsia="仿宋_GB2312"/>
          <w:color w:val="000000" w:themeColor="text1"/>
          <w:sz w:val="32"/>
          <w:szCs w:val="32"/>
          <w14:textFill>
            <w14:solidFill>
              <w14:schemeClr w14:val="tx1"/>
            </w14:solidFill>
          </w14:textFill>
        </w:rPr>
        <w:t>支付三亚市</w:t>
      </w:r>
      <w:r>
        <w:rPr>
          <w:rFonts w:hint="eastAsia" w:ascii="仿宋_GB2312" w:hAnsi="仿宋" w:eastAsia="仿宋_GB2312"/>
          <w:color w:val="000000" w:themeColor="text1"/>
          <w:sz w:val="32"/>
          <w:szCs w:val="32"/>
          <w:lang w:eastAsia="zh-CN"/>
          <w14:textFill>
            <w14:solidFill>
              <w14:schemeClr w14:val="tx1"/>
            </w14:solidFill>
          </w14:textFill>
        </w:rPr>
        <w:t>新风街</w:t>
      </w:r>
      <w:r>
        <w:rPr>
          <w:rFonts w:hint="eastAsia" w:ascii="仿宋_GB2312" w:hAnsi="仿宋" w:eastAsia="仿宋_GB2312"/>
          <w:color w:val="000000" w:themeColor="text1"/>
          <w:sz w:val="32"/>
          <w:szCs w:val="32"/>
          <w:lang w:val="en-US" w:eastAsia="zh-CN"/>
          <w14:textFill>
            <w14:solidFill>
              <w14:schemeClr w14:val="tx1"/>
            </w14:solidFill>
          </w14:textFill>
        </w:rPr>
        <w:t>25号</w:t>
      </w:r>
      <w:r>
        <w:rPr>
          <w:rFonts w:hint="eastAsia" w:ascii="仿宋_GB2312" w:hAnsi="仿宋" w:eastAsia="仿宋_GB2312"/>
          <w:color w:val="000000" w:themeColor="text1"/>
          <w:sz w:val="32"/>
          <w:szCs w:val="32"/>
          <w14:textFill>
            <w14:solidFill>
              <w14:schemeClr w14:val="tx1"/>
            </w14:solidFill>
          </w14:textFill>
        </w:rPr>
        <w:t>办公楼维修预付款的费用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年度政府性基金预算财政拨款支出</w:t>
      </w:r>
      <w:r>
        <w:rPr>
          <w:rFonts w:hint="default" w:ascii="仿宋_GB2312" w:hAnsi="ˎ̥" w:eastAsia="仿宋_GB2312"/>
          <w:color w:val="000000" w:themeColor="text1"/>
          <w:sz w:val="32"/>
          <w:szCs w:val="32"/>
          <w:lang w:val="en-US"/>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万元，主要用于以下方面：</w:t>
      </w:r>
      <w:r>
        <w:rPr>
          <w:rFonts w:hint="default" w:ascii="仿宋_GB2312" w:hAnsi="ˎ̥" w:eastAsia="仿宋_GB2312"/>
          <w:color w:val="000000" w:themeColor="text1"/>
          <w:sz w:val="32"/>
          <w:szCs w:val="32"/>
          <w:lang w:val="en-US"/>
          <w14:textFill>
            <w14:solidFill>
              <w14:schemeClr w14:val="tx1"/>
            </w14:solidFill>
          </w14:textFill>
        </w:rPr>
        <w:t>城乡社区支出</w:t>
      </w:r>
      <w:r>
        <w:rPr>
          <w:rFonts w:hint="eastAsia" w:ascii="仿宋_GB2312" w:hAnsi="ˎ̥" w:eastAsia="仿宋_GB2312"/>
          <w:color w:val="000000" w:themeColor="text1"/>
          <w:sz w:val="32"/>
          <w:szCs w:val="32"/>
          <w14:textFill>
            <w14:solidFill>
              <w14:schemeClr w14:val="tx1"/>
            </w14:solidFill>
          </w14:textFill>
        </w:rPr>
        <w:t>（类）支出</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年度政府性基金预算财政拨款支出年初预算为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1.</w:t>
      </w:r>
      <w:r>
        <w:rPr>
          <w:rFonts w:hint="default" w:ascii="仿宋_GB2312" w:hAnsi="ˎ̥" w:eastAsia="仿宋_GB2312"/>
          <w:color w:val="000000" w:themeColor="text1"/>
          <w:sz w:val="32"/>
          <w:szCs w:val="32"/>
          <w:lang w:val="en-US"/>
          <w14:textFill>
            <w14:solidFill>
              <w14:schemeClr w14:val="tx1"/>
            </w14:solidFill>
          </w14:textFill>
        </w:rPr>
        <w:t>城乡社区支出</w:t>
      </w:r>
      <w:r>
        <w:rPr>
          <w:rFonts w:hint="eastAsia" w:ascii="仿宋_GB2312" w:hAnsi="ˎ̥" w:eastAsia="仿宋_GB2312"/>
          <w:color w:val="000000" w:themeColor="text1"/>
          <w:sz w:val="32"/>
          <w:szCs w:val="32"/>
          <w14:textFill>
            <w14:solidFill>
              <w14:schemeClr w14:val="tx1"/>
            </w14:solidFill>
          </w14:textFill>
        </w:rPr>
        <w:t>（类）</w:t>
      </w:r>
      <w:r>
        <w:rPr>
          <w:rFonts w:hint="default" w:ascii="仿宋_GB2312" w:hAnsi="ˎ̥" w:eastAsia="仿宋_GB2312"/>
          <w:color w:val="000000" w:themeColor="text1"/>
          <w:sz w:val="32"/>
          <w:szCs w:val="32"/>
          <w:lang w:val="en-US"/>
          <w14:textFill>
            <w14:solidFill>
              <w14:schemeClr w14:val="tx1"/>
            </w14:solidFill>
          </w14:textFill>
        </w:rPr>
        <w:t>国有土地使用权出让收入安排的支出</w:t>
      </w:r>
      <w:r>
        <w:rPr>
          <w:rFonts w:hint="eastAsia" w:ascii="仿宋_GB2312" w:hAnsi="ˎ̥" w:eastAsia="仿宋_GB2312"/>
          <w:color w:val="000000" w:themeColor="text1"/>
          <w:sz w:val="32"/>
          <w:szCs w:val="32"/>
          <w14:textFill>
            <w14:solidFill>
              <w14:schemeClr w14:val="tx1"/>
            </w14:solidFill>
          </w14:textFill>
        </w:rPr>
        <w:t>（款）</w:t>
      </w:r>
      <w:r>
        <w:rPr>
          <w:rFonts w:hint="default" w:ascii="仿宋_GB2312" w:hAnsi="ˎ̥" w:eastAsia="仿宋_GB2312"/>
          <w:color w:val="000000" w:themeColor="text1"/>
          <w:sz w:val="32"/>
          <w:szCs w:val="32"/>
          <w:lang w:val="en-US"/>
          <w14:textFill>
            <w14:solidFill>
              <w14:schemeClr w14:val="tx1"/>
            </w14:solidFill>
          </w14:textFill>
        </w:rPr>
        <w:t>征地和拆迁补偿支出</w:t>
      </w:r>
      <w:r>
        <w:rPr>
          <w:rFonts w:hint="eastAsia" w:ascii="仿宋_GB2312" w:hAnsi="ˎ̥" w:eastAsia="仿宋_GB2312"/>
          <w:color w:val="000000" w:themeColor="text1"/>
          <w:sz w:val="32"/>
          <w:szCs w:val="32"/>
          <w14:textFill>
            <w14:solidFill>
              <w14:schemeClr w14:val="tx1"/>
            </w14:solidFill>
          </w14:textFill>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万元，支出决算为</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145.7</w:t>
      </w:r>
      <w:r>
        <w:rPr>
          <w:rFonts w:hint="eastAsia" w:ascii="仿宋_GB2312" w:hAnsi="ˎ̥" w:eastAsia="仿宋_GB2312"/>
          <w:color w:val="000000" w:themeColor="text1"/>
          <w:sz w:val="32"/>
          <w:szCs w:val="32"/>
          <w14:textFill>
            <w14:solidFill>
              <w14:schemeClr w14:val="tx1"/>
            </w14:solidFill>
          </w14:textFill>
        </w:rPr>
        <w:t>%。决算数大于预算数的主要原因</w:t>
      </w:r>
      <w:r>
        <w:rPr>
          <w:rFonts w:hint="eastAsia" w:ascii="仿宋_GB2312" w:hAnsi="ˎ̥" w:eastAsia="仿宋_GB2312"/>
          <w:color w:val="000000" w:themeColor="text1"/>
          <w:sz w:val="32"/>
          <w:szCs w:val="32"/>
          <w:lang w:eastAsia="zh-CN"/>
          <w14:textFill>
            <w14:solidFill>
              <w14:schemeClr w14:val="tx1"/>
            </w14:solidFill>
          </w14:textFill>
        </w:rPr>
        <w:t>是</w:t>
      </w:r>
      <w:r>
        <w:rPr>
          <w:rFonts w:hint="eastAsia" w:ascii="仿宋_GB2312" w:hAnsi="仿宋" w:eastAsia="仿宋_GB2312"/>
          <w:color w:val="000000" w:themeColor="text1"/>
          <w:sz w:val="32"/>
          <w:szCs w:val="32"/>
          <w14:textFill>
            <w14:solidFill>
              <w14:schemeClr w14:val="tx1"/>
            </w14:solidFill>
          </w14:textFill>
        </w:rPr>
        <w:t>支付三亚市</w:t>
      </w:r>
      <w:r>
        <w:rPr>
          <w:rFonts w:hint="eastAsia" w:ascii="仿宋_GB2312" w:hAnsi="仿宋" w:eastAsia="仿宋_GB2312"/>
          <w:color w:val="000000" w:themeColor="text1"/>
          <w:sz w:val="32"/>
          <w:szCs w:val="32"/>
          <w:lang w:eastAsia="zh-CN"/>
          <w14:textFill>
            <w14:solidFill>
              <w14:schemeClr w14:val="tx1"/>
            </w14:solidFill>
          </w14:textFill>
        </w:rPr>
        <w:t>新风街</w:t>
      </w:r>
      <w:r>
        <w:rPr>
          <w:rFonts w:hint="eastAsia" w:ascii="仿宋_GB2312" w:hAnsi="仿宋" w:eastAsia="仿宋_GB2312"/>
          <w:color w:val="000000" w:themeColor="text1"/>
          <w:sz w:val="32"/>
          <w:szCs w:val="32"/>
          <w:lang w:val="en-US" w:eastAsia="zh-CN"/>
          <w14:textFill>
            <w14:solidFill>
              <w14:schemeClr w14:val="tx1"/>
            </w14:solidFill>
          </w14:textFill>
        </w:rPr>
        <w:t>25号</w:t>
      </w:r>
      <w:r>
        <w:rPr>
          <w:rFonts w:hint="eastAsia" w:ascii="仿宋_GB2312" w:hAnsi="仿宋" w:eastAsia="仿宋_GB2312"/>
          <w:color w:val="000000" w:themeColor="text1"/>
          <w:sz w:val="32"/>
          <w:szCs w:val="32"/>
          <w14:textFill>
            <w14:solidFill>
              <w14:schemeClr w14:val="tx1"/>
            </w14:solidFill>
          </w14:textFill>
        </w:rPr>
        <w:t>办公楼维修预付款的费用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年度国有资本经营预算财政拨款支出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万元，占本年支出合计的</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年度相比，国有资本经营预算财政拨款支出</w:t>
      </w:r>
      <w:r>
        <w:rPr>
          <w:rFonts w:hint="eastAsia" w:ascii="仿宋_GB2312" w:hAnsi="ˎ̥" w:eastAsia="仿宋_GB2312"/>
          <w:color w:val="000000" w:themeColor="text1"/>
          <w:sz w:val="32"/>
          <w:szCs w:val="32"/>
          <w:lang w:eastAsia="zh-CN"/>
          <w14:textFill>
            <w14:solidFill>
              <w14:schemeClr w14:val="tx1"/>
            </w14:solidFill>
          </w14:textFill>
        </w:rPr>
        <w:t>持平</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val="en-US" w:eastAsia="zh-CN"/>
          <w14:textFill>
            <w14:solidFill>
              <w14:schemeClr w14:val="tx1"/>
            </w14:solidFill>
          </w14:textFill>
        </w:rPr>
        <w:t>2024年度未涉及国有资本经营支出</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年度国有资本经营预算财政拨款支出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（三）国有资本经营预算财政拨款支出决算具体情况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年度国有资本经营预算财政拨款支出年初预算为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 xml:space="preserve">    </w:t>
      </w: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年度财政拨款“三公”经费支出预算为</w:t>
      </w:r>
      <w:r>
        <w:rPr>
          <w:rFonts w:hint="default" w:ascii="仿宋_GB2312" w:hAnsi="ˎ̥" w:eastAsia="仿宋_GB2312"/>
          <w:color w:val="000000" w:themeColor="text1"/>
          <w:sz w:val="32"/>
          <w:szCs w:val="32"/>
          <w:lang w:val="en-US"/>
          <w14:textFill>
            <w14:solidFill>
              <w14:schemeClr w14:val="tx1"/>
            </w14:solidFill>
          </w14:textFill>
        </w:rPr>
        <w:t>62.74</w:t>
      </w:r>
      <w:r>
        <w:rPr>
          <w:rFonts w:hint="eastAsia" w:ascii="仿宋_GB2312" w:hAnsi="ˎ̥" w:eastAsia="仿宋_GB2312"/>
          <w:color w:val="000000" w:themeColor="text1"/>
          <w:sz w:val="32"/>
          <w:szCs w:val="32"/>
          <w14:textFill>
            <w14:solidFill>
              <w14:schemeClr w14:val="tx1"/>
            </w14:solidFill>
          </w14:textFill>
        </w:rPr>
        <w:t>万元，支出决算为</w:t>
      </w:r>
      <w:r>
        <w:rPr>
          <w:rFonts w:hint="default" w:ascii="仿宋_GB2312" w:hAnsi="ˎ̥" w:eastAsia="仿宋_GB2312"/>
          <w:color w:val="000000" w:themeColor="text1"/>
          <w:sz w:val="32"/>
          <w:szCs w:val="32"/>
          <w:lang w:val="en-US"/>
          <w14:textFill>
            <w14:solidFill>
              <w14:schemeClr w14:val="tx1"/>
            </w14:solidFill>
          </w14:textFill>
        </w:rPr>
        <w:t>52.36</w:t>
      </w:r>
      <w:r>
        <w:rPr>
          <w:rFonts w:hint="eastAsia" w:ascii="仿宋_GB2312" w:hAnsi="ˎ̥" w:eastAsia="仿宋_GB2312"/>
          <w:color w:val="000000" w:themeColor="text1"/>
          <w:sz w:val="32"/>
          <w:szCs w:val="32"/>
          <w14:textFill>
            <w14:solidFill>
              <w14:schemeClr w14:val="tx1"/>
            </w14:solidFill>
          </w14:textFill>
        </w:rPr>
        <w:t>万元，完成预算的</w:t>
      </w:r>
      <w:r>
        <w:rPr>
          <w:rFonts w:hint="eastAsia" w:ascii="仿宋_GB2312" w:hAnsi="ˎ̥" w:eastAsia="仿宋_GB2312"/>
          <w:color w:val="000000" w:themeColor="text1"/>
          <w:sz w:val="32"/>
          <w:szCs w:val="32"/>
          <w:lang w:val="en-US" w:eastAsia="zh-CN"/>
          <w14:textFill>
            <w14:solidFill>
              <w14:schemeClr w14:val="tx1"/>
            </w14:solidFill>
          </w14:textFill>
        </w:rPr>
        <w:t>83.46</w:t>
      </w:r>
      <w:r>
        <w:rPr>
          <w:rFonts w:hint="eastAsia" w:ascii="仿宋_GB2312" w:hAnsi="ˎ̥" w:eastAsia="仿宋_GB2312"/>
          <w:color w:val="000000" w:themeColor="text1"/>
          <w:sz w:val="32"/>
          <w:szCs w:val="32"/>
          <w14:textFill>
            <w14:solidFill>
              <w14:schemeClr w14:val="tx1"/>
            </w14:solidFill>
          </w14:textFill>
        </w:rPr>
        <w:t>%，</w:t>
      </w:r>
      <w:r>
        <w:rPr>
          <w:rFonts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w:t>
      </w:r>
      <w:r>
        <w:rPr>
          <w:rFonts w:ascii="仿宋_GB2312" w:hAnsi="ˎ̥" w:eastAsia="仿宋_GB2312"/>
          <w:color w:val="000000" w:themeColor="text1"/>
          <w:sz w:val="32"/>
          <w:szCs w:val="32"/>
          <w14:textFill>
            <w14:solidFill>
              <w14:schemeClr w14:val="tx1"/>
            </w14:solidFill>
          </w14:textFill>
        </w:rPr>
        <w:t>相比，</w:t>
      </w:r>
      <w:r>
        <w:rPr>
          <w:rFonts w:hint="eastAsia" w:ascii="仿宋_GB2312" w:hAnsi="ˎ̥" w:eastAsia="仿宋_GB2312"/>
          <w:color w:val="000000" w:themeColor="text1"/>
          <w:sz w:val="32"/>
          <w:szCs w:val="32"/>
          <w14:textFill>
            <w14:solidFill>
              <w14:schemeClr w14:val="tx1"/>
            </w14:solidFill>
          </w14:textFill>
        </w:rPr>
        <w:t>“三公”经费支出增加</w:t>
      </w:r>
      <w:r>
        <w:rPr>
          <w:rFonts w:hint="eastAsia" w:ascii="仿宋_GB2312" w:hAnsi="ˎ̥" w:eastAsia="仿宋_GB2312"/>
          <w:color w:val="000000" w:themeColor="text1"/>
          <w:sz w:val="32"/>
          <w:szCs w:val="32"/>
          <w:lang w:val="en-US" w:eastAsia="zh-CN"/>
          <w14:textFill>
            <w14:solidFill>
              <w14:schemeClr w14:val="tx1"/>
            </w14:solidFill>
          </w14:textFill>
        </w:rPr>
        <w:t>39.79</w:t>
      </w:r>
      <w:r>
        <w:rPr>
          <w:rFonts w:hint="eastAsia" w:ascii="仿宋_GB2312" w:hAnsi="ˎ̥" w:eastAsia="仿宋_GB2312"/>
          <w:color w:val="000000" w:themeColor="text1"/>
          <w:sz w:val="32"/>
          <w:szCs w:val="32"/>
          <w14:textFill>
            <w14:solidFill>
              <w14:schemeClr w14:val="tx1"/>
            </w14:solidFill>
          </w14:textFill>
        </w:rPr>
        <w:t>万元</w:t>
      </w:r>
      <w:r>
        <w:rPr>
          <w:rFonts w:ascii="仿宋_GB2312" w:hAnsi="ˎ̥" w:eastAsia="仿宋_GB2312"/>
          <w:color w:val="000000" w:themeColor="text1"/>
          <w:sz w:val="32"/>
          <w:szCs w:val="32"/>
          <w14:textFill>
            <w14:solidFill>
              <w14:schemeClr w14:val="tx1"/>
            </w14:solidFill>
          </w14:textFill>
        </w:rPr>
        <w:t>，增长</w:t>
      </w:r>
      <w:r>
        <w:rPr>
          <w:rFonts w:hint="eastAsia" w:ascii="仿宋_GB2312" w:hAnsi="ˎ̥" w:eastAsia="仿宋_GB2312"/>
          <w:color w:val="000000" w:themeColor="text1"/>
          <w:sz w:val="32"/>
          <w:szCs w:val="32"/>
          <w:lang w:val="en-US" w:eastAsia="zh-CN"/>
          <w14:textFill>
            <w14:solidFill>
              <w14:schemeClr w14:val="tx1"/>
            </w14:solidFill>
          </w14:textFill>
        </w:rPr>
        <w:t>416.55</w:t>
      </w:r>
      <w:r>
        <w:rPr>
          <w:rFonts w:hint="eastAsia" w:ascii="仿宋_GB2312" w:hAnsi="ˎ̥" w:eastAsia="仿宋_GB2312"/>
          <w:color w:val="000000" w:themeColor="text1"/>
          <w:sz w:val="32"/>
          <w:szCs w:val="32"/>
          <w14:textFill>
            <w14:solidFill>
              <w14:schemeClr w14:val="tx1"/>
            </w14:solidFill>
          </w14:textFill>
        </w:rPr>
        <w:t>%，</w:t>
      </w:r>
      <w:r>
        <w:rPr>
          <w:rFonts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14:textFill>
            <w14:solidFill>
              <w14:schemeClr w14:val="tx1"/>
            </w14:solidFill>
          </w14:textFill>
        </w:rPr>
        <w:t>由</w:t>
      </w:r>
      <w:r>
        <w:rPr>
          <w:rFonts w:hint="eastAsia" w:ascii="仿宋_GB2312" w:hAnsi="ˎ̥" w:eastAsia="仿宋_GB2312"/>
          <w:color w:val="000000" w:themeColor="text1"/>
          <w:sz w:val="32"/>
          <w:szCs w:val="32"/>
          <w:lang w:eastAsia="zh-CN"/>
          <w14:textFill>
            <w14:solidFill>
              <w14:schemeClr w14:val="tx1"/>
            </w14:solidFill>
          </w14:textFill>
        </w:rPr>
        <w:t>天涯区人民政府区长</w:t>
      </w:r>
      <w:r>
        <w:rPr>
          <w:rFonts w:hint="eastAsia" w:ascii="仿宋_GB2312" w:hAnsi="ˎ̥" w:eastAsia="仿宋_GB2312"/>
          <w:color w:val="000000" w:themeColor="text1"/>
          <w:sz w:val="32"/>
          <w:szCs w:val="32"/>
          <w14:textFill>
            <w14:solidFill>
              <w14:schemeClr w14:val="tx1"/>
            </w14:solidFill>
          </w14:textFill>
        </w:rPr>
        <w:t>带队一行5人，前往日本及香港开展招商工作。</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 xml:space="preserve">   </w:t>
      </w:r>
      <w:r>
        <w:rPr>
          <w:rFonts w:hint="eastAsia" w:ascii="楷体" w:hAnsi="楷体" w:eastAsia="楷体" w:cs="楷体"/>
          <w:color w:val="000000" w:themeColor="text1"/>
          <w:sz w:val="32"/>
          <w:szCs w:val="32"/>
          <w14:textFill>
            <w14:solidFill>
              <w14:schemeClr w14:val="tx1"/>
            </w14:solidFill>
          </w14:textFill>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年度财政拨款“三公”经费支出决算中，因公出国（境）费支出决算</w:t>
      </w:r>
      <w:r>
        <w:rPr>
          <w:rFonts w:hint="default" w:ascii="仿宋_GB2312" w:hAnsi="ˎ̥" w:eastAsia="仿宋_GB2312"/>
          <w:color w:val="000000" w:themeColor="text1"/>
          <w:sz w:val="32"/>
          <w:szCs w:val="32"/>
          <w:lang w:val="en-US"/>
          <w14:textFill>
            <w14:solidFill>
              <w14:schemeClr w14:val="tx1"/>
            </w14:solidFill>
          </w14:textFill>
        </w:rPr>
        <w:t>51.34</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98.05</w:t>
      </w:r>
      <w:r>
        <w:rPr>
          <w:rFonts w:hint="eastAsia" w:ascii="仿宋_GB2312" w:hAnsi="ˎ̥" w:eastAsia="仿宋_GB2312"/>
          <w:color w:val="000000" w:themeColor="text1"/>
          <w:sz w:val="32"/>
          <w:szCs w:val="32"/>
          <w14:textFill>
            <w14:solidFill>
              <w14:schemeClr w14:val="tx1"/>
            </w14:solidFill>
          </w14:textFill>
        </w:rPr>
        <w:t>%；公务用车购置及运行维护费支出决算</w:t>
      </w:r>
      <w:r>
        <w:rPr>
          <w:rFonts w:hint="default" w:ascii="仿宋_GB2312" w:hAnsi="ˎ̥" w:eastAsia="仿宋_GB2312"/>
          <w:color w:val="000000" w:themeColor="text1"/>
          <w:sz w:val="32"/>
          <w:szCs w:val="32"/>
          <w:lang w:val="en-US"/>
          <w14:textFill>
            <w14:solidFill>
              <w14:schemeClr w14:val="tx1"/>
            </w14:solidFill>
          </w14:textFill>
        </w:rPr>
        <w:t>1.02</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1.95</w:t>
      </w:r>
      <w:r>
        <w:rPr>
          <w:rFonts w:hint="eastAsia" w:ascii="仿宋_GB2312" w:hAnsi="ˎ̥" w:eastAsia="仿宋_GB2312"/>
          <w:color w:val="000000" w:themeColor="text1"/>
          <w:sz w:val="32"/>
          <w:szCs w:val="32"/>
          <w14:textFill>
            <w14:solidFill>
              <w14:schemeClr w14:val="tx1"/>
            </w14:solidFill>
          </w14:textFill>
        </w:rPr>
        <w:t>%；公务接待费支出决算</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1.因公出国（境）费</w:t>
      </w:r>
      <w:r>
        <w:rPr>
          <w:rFonts w:hint="eastAsia" w:ascii="仿宋_GB2312" w:hAnsi="ˎ̥" w:eastAsia="仿宋_GB2312"/>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51.34</w:t>
      </w:r>
      <w:r>
        <w:rPr>
          <w:rFonts w:hint="eastAsia" w:ascii="仿宋_GB2312" w:hAnsi="ˎ̥" w:eastAsia="仿宋_GB2312"/>
          <w:color w:val="000000" w:themeColor="text1"/>
          <w:sz w:val="32"/>
          <w:szCs w:val="32"/>
          <w14:textFill>
            <w14:solidFill>
              <w14:schemeClr w14:val="tx1"/>
            </w14:solidFill>
          </w14:textFill>
        </w:rPr>
        <w:t>万元。全年安排因公出国（境）团组</w:t>
      </w:r>
      <w:r>
        <w:rPr>
          <w:rFonts w:hint="eastAsia" w:ascii="仿宋_GB2312" w:hAnsi="ˎ̥" w:eastAsia="仿宋_GB2312"/>
          <w:color w:val="000000" w:themeColor="text1"/>
          <w:sz w:val="32"/>
          <w:szCs w:val="32"/>
          <w:lang w:val="en-US" w:eastAsia="zh-CN"/>
          <w14:textFill>
            <w14:solidFill>
              <w14:schemeClr w14:val="tx1"/>
            </w14:solidFill>
          </w14:textFill>
        </w:rPr>
        <w:t>1</w:t>
      </w:r>
      <w:r>
        <w:rPr>
          <w:rFonts w:hint="eastAsia" w:ascii="仿宋_GB2312" w:hAnsi="ˎ̥" w:eastAsia="仿宋_GB2312"/>
          <w:color w:val="000000" w:themeColor="text1"/>
          <w:sz w:val="32"/>
          <w:szCs w:val="32"/>
          <w14:textFill>
            <w14:solidFill>
              <w14:schemeClr w14:val="tx1"/>
            </w14:solidFill>
          </w14:textFill>
        </w:rPr>
        <w:t>个，因公出国（境）</w:t>
      </w:r>
      <w:r>
        <w:rPr>
          <w:rFonts w:hint="eastAsia" w:ascii="仿宋_GB2312" w:hAnsi="ˎ̥" w:eastAsia="仿宋_GB2312"/>
          <w:color w:val="000000" w:themeColor="text1"/>
          <w:sz w:val="32"/>
          <w:szCs w:val="32"/>
          <w:lang w:val="en-US" w:eastAsia="zh-CN"/>
          <w14:textFill>
            <w14:solidFill>
              <w14:schemeClr w14:val="tx1"/>
            </w14:solidFill>
          </w14:textFill>
        </w:rPr>
        <w:t>5</w:t>
      </w:r>
      <w:r>
        <w:rPr>
          <w:rFonts w:hint="eastAsia" w:ascii="仿宋_GB2312" w:hAnsi="ˎ̥" w:eastAsia="仿宋_GB2312"/>
          <w:color w:val="000000" w:themeColor="text1"/>
          <w:sz w:val="32"/>
          <w:szCs w:val="32"/>
          <w14:textFill>
            <w14:solidFill>
              <w14:schemeClr w14:val="tx1"/>
            </w14:solidFill>
          </w14:textFill>
        </w:rPr>
        <w:t>人次。开支内容包括：</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天涯区人民政府区长带队一行5人，前往日本及香港开展招商工作</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51.34</w:t>
      </w:r>
      <w:r>
        <w:rPr>
          <w:rFonts w:hint="eastAsia" w:ascii="仿宋_GB2312" w:hAnsi="ˎ̥" w:eastAsia="仿宋_GB2312"/>
          <w:color w:val="000000" w:themeColor="text1"/>
          <w:sz w:val="32"/>
          <w:szCs w:val="32"/>
          <w14:textFill>
            <w14:solidFill>
              <w14:schemeClr w14:val="tx1"/>
            </w14:solidFill>
          </w14:textFill>
        </w:rPr>
        <w:t>万元。主要用于</w:t>
      </w:r>
      <w:r>
        <w:rPr>
          <w:rFonts w:hint="eastAsia" w:ascii="仿宋_GB2312" w:hAnsi="ˎ̥" w:eastAsia="仿宋_GB2312"/>
          <w:color w:val="000000" w:themeColor="text1"/>
          <w:sz w:val="32"/>
          <w:szCs w:val="32"/>
          <w:lang w:eastAsia="zh-CN"/>
          <w14:textFill>
            <w14:solidFill>
              <w14:schemeClr w14:val="tx1"/>
            </w14:solidFill>
          </w14:textFill>
        </w:rPr>
        <w:t>天涯区五人团组前往日本及香港开展招商工作费用。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因公出国（境）费支出决算比预算数增加21.34万元，增长71.13%。与2023年度相比，因公出国（境）费支出增加41.81万元，增长438.72%，主要原因是该出国费用由我单位牵头，所以该5人出国（境）费由我单位支出。</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 xml:space="preserve">    2.公务用车购置及运行维护费</w:t>
      </w:r>
      <w:r>
        <w:rPr>
          <w:rFonts w:hint="eastAsia" w:ascii="仿宋_GB2312" w:hAnsi="ˎ̥" w:eastAsia="仿宋_GB2312"/>
          <w:b w:val="0"/>
          <w:bCs/>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1.02</w:t>
      </w:r>
      <w:r>
        <w:rPr>
          <w:rFonts w:hint="eastAsia" w:ascii="仿宋_GB2312" w:hAnsi="ˎ̥" w:eastAsia="仿宋_GB2312"/>
          <w:color w:val="000000" w:themeColor="text1"/>
          <w:sz w:val="32"/>
          <w:szCs w:val="32"/>
          <w14:textFill>
            <w14:solidFill>
              <w14:schemeClr w14:val="tx1"/>
            </w14:solidFill>
          </w14:textFill>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公务用车购置</w:t>
      </w:r>
      <w:r>
        <w:rPr>
          <w:rFonts w:hint="eastAsia" w:ascii="仿宋_GB2312" w:hAnsi="ˎ̥" w:eastAsia="仿宋_GB2312"/>
          <w:b w:val="0"/>
          <w:bCs/>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万元，全年购置公务用车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辆，年末公务用车保有量</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公务用车运行维护费</w:t>
      </w:r>
      <w:r>
        <w:rPr>
          <w:rFonts w:hint="eastAsia" w:ascii="仿宋_GB2312" w:hAnsi="ˎ̥" w:eastAsia="仿宋_GB2312"/>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1.02</w:t>
      </w:r>
      <w:r>
        <w:rPr>
          <w:rFonts w:hint="eastAsia" w:ascii="仿宋_GB2312" w:hAnsi="ˎ̥" w:eastAsia="仿宋_GB2312"/>
          <w:color w:val="000000" w:themeColor="text1"/>
          <w:sz w:val="32"/>
          <w:szCs w:val="32"/>
          <w14:textFill>
            <w14:solidFill>
              <w14:schemeClr w14:val="tx1"/>
            </w14:solidFill>
          </w14:textFill>
        </w:rPr>
        <w:t>万元，主要用于</w:t>
      </w:r>
      <w:r>
        <w:rPr>
          <w:rFonts w:hint="eastAsia" w:ascii="仿宋_GB2312" w:hAnsi="ˎ̥" w:eastAsia="仿宋_GB2312"/>
          <w:color w:val="000000" w:themeColor="text1"/>
          <w:sz w:val="32"/>
          <w:szCs w:val="32"/>
          <w:lang w:eastAsia="zh-CN"/>
          <w14:textFill>
            <w14:solidFill>
              <w14:schemeClr w14:val="tx1"/>
            </w14:solidFill>
          </w14:textFill>
        </w:rPr>
        <w:t>区政府办公务用维修维护费用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bCs/>
          <w:color w:val="000000" w:themeColor="text1"/>
          <w:sz w:val="32"/>
          <w:szCs w:val="32"/>
          <w:lang w:val="en-US"/>
          <w14:textFill>
            <w14:solidFill>
              <w14:schemeClr w14:val="tx1"/>
            </w14:solidFill>
          </w14:textFill>
        </w:rPr>
      </w:pPr>
      <w:r>
        <w:rPr>
          <w:rFonts w:hint="eastAsia" w:ascii="仿宋_GB2312" w:hAnsi="ˎ̥" w:eastAsia="仿宋_GB2312"/>
          <w:bCs/>
          <w:color w:val="000000" w:themeColor="text1"/>
          <w:sz w:val="32"/>
          <w:szCs w:val="32"/>
          <w14:textFill>
            <w14:solidFill>
              <w14:schemeClr w14:val="tx1"/>
            </w14:solidFill>
          </w14:textFill>
        </w:rPr>
        <w:t>公务用车购置及运行维护费支出决算数</w:t>
      </w:r>
      <w:r>
        <w:rPr>
          <w:rFonts w:hint="eastAsia" w:ascii="仿宋_GB2312" w:hAnsi="ˎ̥" w:eastAsia="仿宋_GB2312"/>
          <w:color w:val="000000" w:themeColor="text1"/>
          <w:sz w:val="32"/>
          <w:szCs w:val="32"/>
          <w14:textFill>
            <w14:solidFill>
              <w14:schemeClr w14:val="tx1"/>
            </w14:solidFill>
          </w14:textFill>
        </w:rPr>
        <w:t>比预算数减少</w:t>
      </w:r>
      <w:r>
        <w:rPr>
          <w:rFonts w:hint="eastAsia" w:ascii="仿宋_GB2312" w:hAnsi="ˎ̥" w:eastAsia="仿宋_GB2312"/>
          <w:color w:val="000000" w:themeColor="text1"/>
          <w:sz w:val="32"/>
          <w:szCs w:val="32"/>
          <w:lang w:val="en-US" w:eastAsia="zh-CN"/>
          <w14:textFill>
            <w14:solidFill>
              <w14:schemeClr w14:val="tx1"/>
            </w14:solidFill>
          </w14:textFill>
        </w:rPr>
        <w:t>2.72</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val="en-US" w:eastAsia="zh-CN"/>
          <w14:textFill>
            <w14:solidFill>
              <w14:schemeClr w14:val="tx1"/>
            </w14:solidFill>
          </w14:textFill>
        </w:rPr>
        <w:t>完成预算的27.2</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w:t>
      </w:r>
      <w:r>
        <w:rPr>
          <w:rFonts w:ascii="仿宋_GB2312" w:hAnsi="ˎ̥" w:eastAsia="仿宋_GB2312"/>
          <w:color w:val="000000" w:themeColor="text1"/>
          <w:sz w:val="32"/>
          <w:szCs w:val="32"/>
          <w14:textFill>
            <w14:solidFill>
              <w14:schemeClr w14:val="tx1"/>
            </w14:solidFill>
          </w14:textFill>
        </w:rPr>
        <w:t>相比，</w:t>
      </w:r>
      <w:r>
        <w:rPr>
          <w:rFonts w:hint="eastAsia" w:ascii="仿宋_GB2312" w:hAnsi="ˎ̥" w:eastAsia="仿宋_GB2312"/>
          <w:bCs/>
          <w:color w:val="000000" w:themeColor="text1"/>
          <w:sz w:val="32"/>
          <w:szCs w:val="32"/>
          <w14:textFill>
            <w14:solidFill>
              <w14:schemeClr w14:val="tx1"/>
            </w14:solidFill>
          </w14:textFill>
        </w:rPr>
        <w:t>公务用车购置及运行维护费</w:t>
      </w:r>
      <w:r>
        <w:rPr>
          <w:rFonts w:hint="eastAsia" w:ascii="仿宋_GB2312" w:hAnsi="ˎ̥" w:eastAsia="仿宋_GB2312"/>
          <w:color w:val="000000" w:themeColor="text1"/>
          <w:sz w:val="32"/>
          <w:szCs w:val="32"/>
          <w14:textFill>
            <w14:solidFill>
              <w14:schemeClr w14:val="tx1"/>
            </w14:solidFill>
          </w14:textFill>
        </w:rPr>
        <w:t>支出减少</w:t>
      </w:r>
      <w:r>
        <w:rPr>
          <w:rFonts w:hint="eastAsia" w:ascii="仿宋_GB2312" w:hAnsi="ˎ̥" w:eastAsia="仿宋_GB2312"/>
          <w:color w:val="000000" w:themeColor="text1"/>
          <w:sz w:val="32"/>
          <w:szCs w:val="32"/>
          <w:lang w:val="en-US" w:eastAsia="zh-CN"/>
          <w14:textFill>
            <w14:solidFill>
              <w14:schemeClr w14:val="tx1"/>
            </w14:solidFill>
          </w14:textFill>
        </w:rPr>
        <w:t>1.56</w:t>
      </w:r>
      <w:r>
        <w:rPr>
          <w:rFonts w:hint="eastAsia" w:ascii="仿宋_GB2312" w:hAnsi="ˎ̥" w:eastAsia="仿宋_GB2312"/>
          <w:color w:val="000000" w:themeColor="text1"/>
          <w:sz w:val="32"/>
          <w:szCs w:val="32"/>
          <w14:textFill>
            <w14:solidFill>
              <w14:schemeClr w14:val="tx1"/>
            </w14:solidFill>
          </w14:textFill>
        </w:rPr>
        <w:t>万元</w:t>
      </w:r>
      <w:r>
        <w:rPr>
          <w:rFonts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下降</w:t>
      </w:r>
      <w:r>
        <w:rPr>
          <w:rFonts w:hint="eastAsia" w:ascii="仿宋_GB2312" w:hAnsi="ˎ̥" w:eastAsia="仿宋_GB2312"/>
          <w:color w:val="000000" w:themeColor="text1"/>
          <w:sz w:val="32"/>
          <w:szCs w:val="32"/>
          <w:lang w:val="en-US" w:eastAsia="zh-CN"/>
          <w14:textFill>
            <w14:solidFill>
              <w14:schemeClr w14:val="tx1"/>
            </w14:solidFill>
          </w14:textFill>
        </w:rPr>
        <w:t>60.47</w:t>
      </w:r>
      <w:r>
        <w:rPr>
          <w:rFonts w:hint="eastAsia" w:ascii="仿宋_GB2312" w:hAnsi="ˎ̥" w:eastAsia="仿宋_GB2312"/>
          <w:color w:val="000000" w:themeColor="text1"/>
          <w:sz w:val="32"/>
          <w:szCs w:val="32"/>
          <w14:textFill>
            <w14:solidFill>
              <w14:schemeClr w14:val="tx1"/>
            </w14:solidFill>
          </w14:textFill>
        </w:rPr>
        <w:t>%，主要原因</w:t>
      </w:r>
      <w:r>
        <w:rPr>
          <w:rFonts w:hint="eastAsia" w:ascii="仿宋_GB2312" w:hAnsi="ˎ̥" w:eastAsia="仿宋_GB2312"/>
          <w:color w:val="000000" w:themeColor="text1"/>
          <w:sz w:val="32"/>
          <w:szCs w:val="32"/>
          <w:lang w:eastAsia="zh-CN"/>
          <w14:textFill>
            <w14:solidFill>
              <w14:schemeClr w14:val="tx1"/>
            </w14:solidFill>
          </w14:textFill>
        </w:rPr>
        <w:t>是一、严格控制“三公”经费；二是</w:t>
      </w:r>
      <w:r>
        <w:rPr>
          <w:rFonts w:hint="eastAsia" w:ascii="仿宋_GB2312" w:hAnsi="ˎ̥" w:eastAsia="仿宋_GB2312"/>
          <w:color w:val="000000" w:themeColor="text1"/>
          <w:sz w:val="32"/>
          <w:szCs w:val="32"/>
          <w:lang w:val="en-US" w:eastAsia="zh-CN"/>
          <w14:textFill>
            <w14:solidFill>
              <w14:schemeClr w14:val="tx1"/>
            </w14:solidFill>
          </w14:textFill>
        </w:rPr>
        <w:t>区政府办2024年4月10日和12月27日分别报废琼BQT905和琼BA0003公务用车，导致公务用车维修维护费用减少。</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 xml:space="preserve">    3.公务接待费</w:t>
      </w:r>
      <w:r>
        <w:rPr>
          <w:rFonts w:hint="eastAsia" w:ascii="仿宋_GB2312" w:hAnsi="ˎ̥" w:eastAsia="仿宋_GB2312"/>
          <w:b w:val="0"/>
          <w:bCs/>
          <w:color w:val="000000" w:themeColor="text1"/>
          <w:sz w:val="32"/>
          <w:szCs w:val="32"/>
          <w14:textFill>
            <w14:solidFill>
              <w14:schemeClr w14:val="tx1"/>
            </w14:solidFill>
          </w14:textFill>
        </w:rPr>
        <w:t>支出</w:t>
      </w:r>
      <w:r>
        <w:rPr>
          <w:rFonts w:hint="default" w:ascii="仿宋_GB2312" w:hAnsi="ˎ̥" w:eastAsia="仿宋_GB2312"/>
          <w:color w:val="000000" w:themeColor="text1"/>
          <w:sz w:val="32"/>
          <w:szCs w:val="32"/>
          <w:lang w:val="en-US"/>
          <w14:textFill>
            <w14:solidFill>
              <w14:schemeClr w14:val="tx1"/>
            </w14:solidFill>
          </w14:textFill>
        </w:rPr>
        <w:t>0.00</w:t>
      </w:r>
      <w:r>
        <w:rPr>
          <w:rFonts w:hint="eastAsia" w:ascii="仿宋_GB2312" w:hAnsi="ˎ̥" w:eastAsia="仿宋_GB2312"/>
          <w:color w:val="000000" w:themeColor="text1"/>
          <w:sz w:val="32"/>
          <w:szCs w:val="32"/>
          <w14:textFill>
            <w14:solidFill>
              <w14:schemeClr w14:val="tx1"/>
            </w14:solidFill>
          </w14:textFill>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color w:val="000000" w:themeColor="text1"/>
          <w:sz w:val="32"/>
          <w:szCs w:val="32"/>
          <w14:textFill>
            <w14:solidFill>
              <w14:schemeClr w14:val="tx1"/>
            </w14:solidFill>
          </w14:textFill>
        </w:rPr>
        <w:t>国内接待费</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万元，国内公务接待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批次，接待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人次。</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bCs/>
          <w:color w:val="000000" w:themeColor="text1"/>
          <w:sz w:val="32"/>
          <w:szCs w:val="32"/>
          <w14:textFill>
            <w14:solidFill>
              <w14:schemeClr w14:val="tx1"/>
            </w14:solidFill>
          </w14:textFill>
        </w:rPr>
        <w:t>国（境）外接待费</w:t>
      </w:r>
      <w:r>
        <w:rPr>
          <w:rFonts w:hint="eastAsia" w:ascii="仿宋_GB2312" w:hAnsi="ˎ̥" w:eastAsia="仿宋_GB2312"/>
          <w:color w:val="000000" w:themeColor="text1"/>
          <w:sz w:val="32"/>
          <w:szCs w:val="32"/>
          <w14:textFill>
            <w14:solidFill>
              <w14:schemeClr w14:val="tx1"/>
            </w14:solidFill>
          </w14:textFill>
        </w:rPr>
        <w:t>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万元，国（境）外公务接待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批次，接待</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公务接待费支出决算数比预算数减少</w:t>
      </w:r>
      <w:r>
        <w:rPr>
          <w:rFonts w:hint="eastAsia" w:ascii="仿宋_GB2312" w:hAnsi="ˎ̥" w:eastAsia="仿宋_GB2312"/>
          <w:color w:val="000000" w:themeColor="text1"/>
          <w:sz w:val="32"/>
          <w:szCs w:val="32"/>
          <w:lang w:val="en-US" w:eastAsia="zh-CN"/>
          <w14:textFill>
            <w14:solidFill>
              <w14:schemeClr w14:val="tx1"/>
            </w14:solidFill>
          </w14:textFill>
        </w:rPr>
        <w:t>2</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val="en-US" w:eastAsia="zh-CN"/>
          <w14:textFill>
            <w14:solidFill>
              <w14:schemeClr w14:val="tx1"/>
            </w14:solidFill>
          </w14:textFill>
        </w:rPr>
        <w:t>完成预算的0</w:t>
      </w:r>
      <w:r>
        <w:rPr>
          <w:rFonts w:hint="eastAsia" w:ascii="仿宋_GB2312" w:hAnsi="ˎ̥" w:eastAsia="仿宋_GB2312"/>
          <w:color w:val="000000" w:themeColor="text1"/>
          <w:sz w:val="32"/>
          <w:szCs w:val="32"/>
          <w14:textFill>
            <w14:solidFill>
              <w14:schemeClr w14:val="tx1"/>
            </w14:solidFill>
          </w14:textFill>
        </w:rPr>
        <w:t>%。与</w:t>
      </w:r>
      <w:r>
        <w:rPr>
          <w:rFonts w:hint="default" w:ascii="仿宋_GB2312" w:hAnsi="ˎ̥" w:eastAsia="仿宋_GB2312"/>
          <w:color w:val="000000" w:themeColor="text1"/>
          <w:sz w:val="32"/>
          <w:szCs w:val="32"/>
          <w:lang w:val="en-US"/>
          <w14:textFill>
            <w14:solidFill>
              <w14:schemeClr w14:val="tx1"/>
            </w14:solidFill>
          </w14:textFill>
        </w:rPr>
        <w:t>2023</w:t>
      </w:r>
      <w:r>
        <w:rPr>
          <w:rFonts w:hint="eastAsia" w:ascii="仿宋_GB2312" w:hAnsi="ˎ̥" w:eastAsia="仿宋_GB2312"/>
          <w:color w:val="000000" w:themeColor="text1"/>
          <w:sz w:val="32"/>
          <w:szCs w:val="32"/>
          <w14:textFill>
            <w14:solidFill>
              <w14:schemeClr w14:val="tx1"/>
            </w14:solidFill>
          </w14:textFill>
        </w:rPr>
        <w:t>年度</w:t>
      </w:r>
      <w:r>
        <w:rPr>
          <w:rFonts w:ascii="仿宋_GB2312" w:hAnsi="ˎ̥" w:eastAsia="仿宋_GB2312"/>
          <w:color w:val="000000" w:themeColor="text1"/>
          <w:sz w:val="32"/>
          <w:szCs w:val="32"/>
          <w14:textFill>
            <w14:solidFill>
              <w14:schemeClr w14:val="tx1"/>
            </w14:solidFill>
          </w14:textFill>
        </w:rPr>
        <w:t>相比，</w:t>
      </w:r>
      <w:r>
        <w:rPr>
          <w:rFonts w:hint="eastAsia" w:ascii="仿宋_GB2312" w:hAnsi="ˎ̥" w:eastAsia="仿宋_GB2312"/>
          <w:bCs/>
          <w:color w:val="000000" w:themeColor="text1"/>
          <w:sz w:val="32"/>
          <w:szCs w:val="32"/>
          <w14:textFill>
            <w14:solidFill>
              <w14:schemeClr w14:val="tx1"/>
            </w14:solidFill>
          </w14:textFill>
        </w:rPr>
        <w:t>公务接待费</w:t>
      </w:r>
      <w:r>
        <w:rPr>
          <w:rFonts w:hint="eastAsia" w:ascii="仿宋_GB2312" w:hAnsi="ˎ̥" w:eastAsia="仿宋_GB2312"/>
          <w:color w:val="000000" w:themeColor="text1"/>
          <w:sz w:val="32"/>
          <w:szCs w:val="32"/>
          <w14:textFill>
            <w14:solidFill>
              <w14:schemeClr w14:val="tx1"/>
            </w14:solidFill>
          </w14:textFill>
        </w:rPr>
        <w:t>支出减少</w:t>
      </w:r>
      <w:r>
        <w:rPr>
          <w:rFonts w:hint="eastAsia" w:ascii="仿宋_GB2312" w:hAnsi="ˎ̥" w:eastAsia="仿宋_GB2312"/>
          <w:color w:val="000000" w:themeColor="text1"/>
          <w:sz w:val="32"/>
          <w:szCs w:val="32"/>
          <w:lang w:val="en-US" w:eastAsia="zh-CN"/>
          <w14:textFill>
            <w14:solidFill>
              <w14:schemeClr w14:val="tx1"/>
            </w14:solidFill>
          </w14:textFill>
        </w:rPr>
        <w:t>0.47</w:t>
      </w:r>
      <w:r>
        <w:rPr>
          <w:rFonts w:hint="eastAsia" w:ascii="仿宋_GB2312" w:hAnsi="ˎ̥" w:eastAsia="仿宋_GB2312"/>
          <w:color w:val="000000" w:themeColor="text1"/>
          <w:sz w:val="32"/>
          <w:szCs w:val="32"/>
          <w14:textFill>
            <w14:solidFill>
              <w14:schemeClr w14:val="tx1"/>
            </w14:solidFill>
          </w14:textFill>
        </w:rPr>
        <w:t>万元</w:t>
      </w:r>
      <w:r>
        <w:rPr>
          <w:rFonts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下降</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val="en-US" w:eastAsia="zh-CN"/>
          <w14:textFill>
            <w14:solidFill>
              <w14:schemeClr w14:val="tx1"/>
            </w14:solidFill>
          </w14:textFill>
        </w:rPr>
        <w:t>2024年度不产生公务接待费用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根据预算管理要求，我单位组织对</w:t>
      </w:r>
      <w:r>
        <w:rPr>
          <w:rFonts w:hint="default" w:ascii="仿宋_GB2312" w:eastAsia="仿宋_GB2312"/>
          <w:color w:val="000000" w:themeColor="text1"/>
          <w:sz w:val="32"/>
          <w:szCs w:val="32"/>
          <w:lang w:val="en-US"/>
          <w14:textFill>
            <w14:solidFill>
              <w14:schemeClr w14:val="tx1"/>
            </w14:solidFill>
          </w14:textFill>
        </w:rPr>
        <w:t>2024</w:t>
      </w:r>
      <w:r>
        <w:rPr>
          <w:rFonts w:hint="eastAsia" w:ascii="仿宋_GB2312" w:eastAsia="仿宋_GB2312"/>
          <w:color w:val="000000" w:themeColor="text1"/>
          <w:sz w:val="32"/>
          <w:szCs w:val="32"/>
          <w14:textFill>
            <w14:solidFill>
              <w14:schemeClr w14:val="tx1"/>
            </w14:solidFill>
          </w14:textFill>
        </w:rPr>
        <w:t>年度一般公共预算项目支出全面开展绩效自评</w:t>
      </w:r>
      <w:r>
        <w:rPr>
          <w:rFonts w:hint="default" w:ascii="仿宋_GB2312" w:eastAsia="仿宋_GB2312"/>
          <w:color w:val="000000" w:themeColor="text1"/>
          <w:sz w:val="32"/>
          <w:szCs w:val="32"/>
          <w:lang w:val="en-US"/>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共涉及资金3507.09万元，占一般公共预算项目支出总额的78.79%</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bidi="ar"/>
          <w14:textFill>
            <w14:solidFill>
              <w14:schemeClr w14:val="tx1"/>
            </w14:solidFill>
          </w14:textFill>
        </w:rPr>
        <w:t>组织对</w:t>
      </w:r>
      <w:r>
        <w:rPr>
          <w:rFonts w:hint="default" w:ascii="仿宋_GB2312" w:eastAsia="仿宋_GB2312"/>
          <w:color w:val="000000" w:themeColor="text1"/>
          <w:sz w:val="32"/>
          <w:szCs w:val="32"/>
          <w:lang w:val="en-US" w:bidi="ar"/>
          <w14:textFill>
            <w14:solidFill>
              <w14:schemeClr w14:val="tx1"/>
            </w14:solidFill>
          </w14:textFill>
        </w:rPr>
        <w:t>2024</w:t>
      </w:r>
      <w:r>
        <w:rPr>
          <w:rFonts w:hint="eastAsia" w:ascii="仿宋_GB2312" w:eastAsia="仿宋_GB2312"/>
          <w:color w:val="000000" w:themeColor="text1"/>
          <w:sz w:val="32"/>
          <w:szCs w:val="32"/>
          <w:lang w:bidi="ar"/>
          <w14:textFill>
            <w14:solidFill>
              <w14:schemeClr w14:val="tx1"/>
            </w14:solidFill>
          </w14:textFill>
        </w:rPr>
        <w:t>年度</w:t>
      </w:r>
      <w:r>
        <w:rPr>
          <w:rFonts w:hint="default" w:ascii="仿宋_GB2312" w:eastAsia="仿宋_GB2312"/>
          <w:color w:val="000000" w:themeColor="text1"/>
          <w:sz w:val="32"/>
          <w:szCs w:val="32"/>
          <w:lang w:val="en-US" w:bidi="ar"/>
          <w14:textFill>
            <w14:solidFill>
              <w14:schemeClr w14:val="tx1"/>
            </w14:solidFill>
          </w14:textFill>
        </w:rPr>
        <w:t>城乡社区支出</w:t>
      </w:r>
      <w:r>
        <w:rPr>
          <w:rFonts w:hint="eastAsia" w:ascii="仿宋_GB2312" w:eastAsia="仿宋_GB2312"/>
          <w:color w:val="000000" w:themeColor="text1"/>
          <w:sz w:val="32"/>
          <w:szCs w:val="32"/>
          <w:lang w:val="en-US" w:eastAsia="zh-CN" w:bidi="ar"/>
          <w14:textFill>
            <w14:solidFill>
              <w14:schemeClr w14:val="tx1"/>
            </w14:solidFill>
          </w14:textFill>
        </w:rPr>
        <w:t>类</w:t>
      </w:r>
      <w:r>
        <w:rPr>
          <w:rFonts w:hint="eastAsia" w:ascii="仿宋_GB2312" w:eastAsia="仿宋_GB2312"/>
          <w:color w:val="000000" w:themeColor="text1"/>
          <w:sz w:val="32"/>
          <w:szCs w:val="32"/>
          <w:lang w:bidi="ar"/>
          <w14:textFill>
            <w14:solidFill>
              <w14:schemeClr w14:val="tx1"/>
            </w14:solidFill>
          </w14:textFill>
        </w:rPr>
        <w:t>等</w:t>
      </w:r>
      <w:r>
        <w:rPr>
          <w:rFonts w:hint="eastAsia" w:ascii="仿宋_GB2312" w:eastAsia="仿宋_GB2312"/>
          <w:color w:val="000000" w:themeColor="text1"/>
          <w:sz w:val="32"/>
          <w:szCs w:val="32"/>
          <w:lang w:val="en-US" w:eastAsia="zh-CN" w:bidi="ar"/>
          <w14:textFill>
            <w14:solidFill>
              <w14:schemeClr w14:val="tx1"/>
            </w14:solidFill>
          </w14:textFill>
        </w:rPr>
        <w:t>1</w:t>
      </w:r>
      <w:r>
        <w:rPr>
          <w:rFonts w:hint="eastAsia" w:ascii="仿宋_GB2312" w:eastAsia="仿宋_GB2312"/>
          <w:color w:val="000000" w:themeColor="text1"/>
          <w:sz w:val="32"/>
          <w:szCs w:val="32"/>
          <w:lang w:bidi="ar"/>
          <w14:textFill>
            <w14:solidFill>
              <w14:schemeClr w14:val="tx1"/>
            </w14:solidFill>
          </w14:textFill>
        </w:rPr>
        <w:t>个政府性基金预算项目开展绩效自评，共涉及资金</w:t>
      </w:r>
      <w:r>
        <w:rPr>
          <w:rFonts w:hint="eastAsia" w:ascii="仿宋_GB2312" w:eastAsia="仿宋_GB2312"/>
          <w:color w:val="000000" w:themeColor="text1"/>
          <w:sz w:val="32"/>
          <w:szCs w:val="32"/>
          <w:lang w:val="en-US" w:eastAsia="zh-CN" w:bidi="ar"/>
          <w14:textFill>
            <w14:solidFill>
              <w14:schemeClr w14:val="tx1"/>
            </w14:solidFill>
          </w14:textFill>
        </w:rPr>
        <w:t>14.57</w:t>
      </w:r>
      <w:r>
        <w:rPr>
          <w:rFonts w:hint="eastAsia" w:ascii="仿宋_GB2312" w:eastAsia="仿宋_GB2312"/>
          <w:color w:val="000000" w:themeColor="text1"/>
          <w:sz w:val="32"/>
          <w:szCs w:val="32"/>
          <w:lang w:bidi="ar"/>
          <w14:textFill>
            <w14:solidFill>
              <w14:schemeClr w14:val="tx1"/>
            </w14:solidFill>
          </w14:textFill>
        </w:rPr>
        <w:t>万元，占政府性基金预算项目支出总</w:t>
      </w:r>
      <w:r>
        <w:rPr>
          <w:rFonts w:hint="eastAsia" w:ascii="仿宋_GB2312" w:eastAsia="仿宋_GB2312"/>
          <w:color w:val="000000" w:themeColor="text1"/>
          <w:sz w:val="32"/>
          <w:szCs w:val="32"/>
          <w:lang w:val="en-US" w:eastAsia="zh-CN" w:bidi="ar"/>
          <w14:textFill>
            <w14:solidFill>
              <w14:schemeClr w14:val="tx1"/>
            </w14:solidFill>
          </w14:textFill>
        </w:rPr>
        <w:t>100</w:t>
      </w:r>
      <w:r>
        <w:rPr>
          <w:rFonts w:hint="eastAsia" w:ascii="仿宋_GB2312" w:eastAsia="仿宋_GB2312"/>
          <w:color w:val="000000" w:themeColor="text1"/>
          <w:sz w:val="32"/>
          <w:szCs w:val="32"/>
          <w:lang w:bidi="ar"/>
          <w14:textFill>
            <w14:solidFill>
              <w14:schemeClr w14:val="tx1"/>
            </w14:solidFill>
          </w14:textFill>
        </w:rPr>
        <w:t>%。组织对</w:t>
      </w:r>
      <w:r>
        <w:rPr>
          <w:rFonts w:hint="default" w:ascii="仿宋_GB2312" w:eastAsia="仿宋_GB2312"/>
          <w:color w:val="000000" w:themeColor="text1"/>
          <w:sz w:val="32"/>
          <w:szCs w:val="32"/>
          <w:lang w:val="en-US" w:bidi="ar"/>
          <w14:textFill>
            <w14:solidFill>
              <w14:schemeClr w14:val="tx1"/>
            </w14:solidFill>
          </w14:textFill>
        </w:rPr>
        <w:t>2024</w:t>
      </w:r>
      <w:r>
        <w:rPr>
          <w:rFonts w:hint="eastAsia" w:ascii="仿宋_GB2312" w:eastAsia="仿宋_GB2312"/>
          <w:color w:val="000000" w:themeColor="text1"/>
          <w:sz w:val="32"/>
          <w:szCs w:val="32"/>
          <w:lang w:bidi="ar"/>
          <w14:textFill>
            <w14:solidFill>
              <w14:schemeClr w14:val="tx1"/>
            </w14:solidFill>
          </w14:textFill>
        </w:rPr>
        <w:t>年度</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 xml:space="preserve">个国有资本经营预算项目开展绩效自评，共涉及资金 </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万元，占国有资本经营预算项目支出总额的</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共组织对“</w:t>
      </w:r>
      <w:r>
        <w:rPr>
          <w:rFonts w:hint="eastAsia" w:ascii="仿宋_GB2312" w:eastAsia="仿宋_GB2312"/>
          <w:color w:val="000000" w:themeColor="text1"/>
          <w:sz w:val="32"/>
          <w:szCs w:val="32"/>
          <w:lang w:val="en-US" w:eastAsia="zh-CN"/>
          <w14:textFill>
            <w14:solidFill>
              <w14:schemeClr w14:val="tx1"/>
            </w14:solidFill>
          </w14:textFill>
        </w:rPr>
        <w:t>后勤保障、工作人员午餐费</w:t>
      </w:r>
      <w:r>
        <w:rPr>
          <w:rFonts w:hint="eastAsia" w:ascii="仿宋_GB2312" w:eastAsia="仿宋_GB2312"/>
          <w:color w:val="000000" w:themeColor="text1"/>
          <w:sz w:val="32"/>
          <w:szCs w:val="32"/>
          <w14:textFill>
            <w14:solidFill>
              <w14:schemeClr w14:val="tx1"/>
            </w14:solidFill>
          </w14:textFill>
        </w:rPr>
        <w:t>”等</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个项目开展了</w:t>
      </w:r>
      <w:r>
        <w:rPr>
          <w:rFonts w:hint="eastAsia" w:ascii="仿宋_GB2312" w:eastAsia="仿宋_GB2312"/>
          <w:color w:val="000000" w:themeColor="text1"/>
          <w:sz w:val="32"/>
          <w:szCs w:val="32"/>
          <w:lang w:eastAsia="zh-CN"/>
          <w14:textFill>
            <w14:solidFill>
              <w14:schemeClr w14:val="tx1"/>
            </w14:solidFill>
          </w14:textFill>
        </w:rPr>
        <w:t>单位</w:t>
      </w:r>
      <w:r>
        <w:rPr>
          <w:rFonts w:hint="eastAsia" w:ascii="仿宋_GB2312" w:eastAsia="仿宋_GB2312"/>
          <w:color w:val="000000" w:themeColor="text1"/>
          <w:sz w:val="32"/>
          <w:szCs w:val="32"/>
          <w14:textFill>
            <w14:solidFill>
              <w14:schemeClr w14:val="tx1"/>
            </w14:solidFill>
          </w14:textFill>
        </w:rPr>
        <w:t>评价，</w:t>
      </w:r>
      <w:r>
        <w:rPr>
          <w:rFonts w:hint="eastAsia" w:ascii="仿宋_GB2312" w:eastAsia="仿宋_GB2312"/>
          <w:color w:val="000000" w:themeColor="text1"/>
          <w:sz w:val="32"/>
          <w:szCs w:val="32"/>
          <w:lang w:bidi="ar"/>
          <w14:textFill>
            <w14:solidFill>
              <w14:schemeClr w14:val="tx1"/>
            </w14:solidFill>
          </w14:textFill>
        </w:rPr>
        <w:t>涉及一般公共预算支出</w:t>
      </w:r>
      <w:r>
        <w:rPr>
          <w:rFonts w:hint="eastAsia" w:ascii="仿宋_GB2312" w:eastAsia="仿宋_GB2312"/>
          <w:color w:val="000000" w:themeColor="text1"/>
          <w:sz w:val="32"/>
          <w:szCs w:val="32"/>
          <w:lang w:val="en-US" w:eastAsia="zh-CN" w:bidi="ar"/>
          <w14:textFill>
            <w14:solidFill>
              <w14:schemeClr w14:val="tx1"/>
            </w14:solidFill>
          </w14:textFill>
        </w:rPr>
        <w:t>2763.13</w:t>
      </w:r>
      <w:r>
        <w:rPr>
          <w:rFonts w:hint="eastAsia" w:ascii="仿宋_GB2312" w:eastAsia="仿宋_GB2312"/>
          <w:color w:val="000000" w:themeColor="text1"/>
          <w:sz w:val="32"/>
          <w:szCs w:val="32"/>
          <w:lang w:bidi="ar"/>
          <w14:textFill>
            <w14:solidFill>
              <w14:schemeClr w14:val="tx1"/>
            </w14:solidFill>
          </w14:textFill>
        </w:rPr>
        <w:t>万元，政府性基金预算支出</w:t>
      </w:r>
      <w:r>
        <w:rPr>
          <w:rFonts w:hint="eastAsia" w:ascii="仿宋_GB2312" w:eastAsia="仿宋_GB2312"/>
          <w:color w:val="000000" w:themeColor="text1"/>
          <w:sz w:val="32"/>
          <w:szCs w:val="32"/>
          <w:lang w:val="en-US" w:eastAsia="zh-CN" w:bidi="ar"/>
          <w14:textFill>
            <w14:solidFill>
              <w14:schemeClr w14:val="tx1"/>
            </w14:solidFill>
          </w14:textFill>
        </w:rPr>
        <w:t>14.57</w:t>
      </w:r>
      <w:r>
        <w:rPr>
          <w:rFonts w:hint="eastAsia" w:ascii="仿宋_GB2312" w:eastAsia="仿宋_GB2312"/>
          <w:color w:val="000000" w:themeColor="text1"/>
          <w:sz w:val="32"/>
          <w:szCs w:val="32"/>
          <w:lang w:bidi="ar"/>
          <w14:textFill>
            <w14:solidFill>
              <w14:schemeClr w14:val="tx1"/>
            </w14:solidFill>
          </w14:textFill>
        </w:rPr>
        <w:t>万元，国有资本经营预算支出</w:t>
      </w:r>
      <w:r>
        <w:rPr>
          <w:rFonts w:hint="eastAsia" w:ascii="仿宋_GB2312" w:eastAsia="仿宋_GB2312"/>
          <w:color w:val="000000" w:themeColor="text1"/>
          <w:sz w:val="32"/>
          <w:szCs w:val="32"/>
          <w:lang w:val="en-US" w:eastAsia="zh-CN" w:bidi="ar"/>
          <w14:textFill>
            <w14:solidFill>
              <w14:schemeClr w14:val="tx1"/>
            </w14:solidFill>
          </w14:textFill>
        </w:rPr>
        <w:t>0</w:t>
      </w:r>
      <w:r>
        <w:rPr>
          <w:rFonts w:hint="eastAsia" w:ascii="仿宋_GB2312" w:eastAsia="仿宋_GB2312"/>
          <w:color w:val="000000" w:themeColor="text1"/>
          <w:sz w:val="32"/>
          <w:szCs w:val="32"/>
          <w:lang w:bidi="ar"/>
          <w14:textFill>
            <w14:solidFill>
              <w14:schemeClr w14:val="tx1"/>
            </w14:solidFill>
          </w14:textFill>
        </w:rPr>
        <w:t>万元。</w:t>
      </w:r>
      <w:r>
        <w:rPr>
          <w:rFonts w:hint="eastAsia" w:ascii="仿宋_GB2312" w:eastAsia="仿宋_GB2312"/>
          <w:color w:val="000000" w:themeColor="text1"/>
          <w:sz w:val="32"/>
          <w:szCs w:val="32"/>
          <w14:textFill>
            <w14:solidFill>
              <w14:schemeClr w14:val="tx1"/>
            </w14:solidFill>
          </w14:textFill>
        </w:rPr>
        <w:t>从评价情况来看，</w:t>
      </w:r>
      <w:r>
        <w:rPr>
          <w:rFonts w:hint="eastAsia" w:ascii="仿宋_GB2312" w:eastAsia="仿宋_GB2312"/>
          <w:color w:val="000000" w:themeColor="text1"/>
          <w:sz w:val="32"/>
          <w:szCs w:val="32"/>
          <w:lang w:eastAsia="zh-CN"/>
          <w14:textFill>
            <w14:solidFill>
              <w14:schemeClr w14:val="tx1"/>
            </w14:solidFill>
          </w14:textFill>
        </w:rPr>
        <w:t>我单位</w:t>
      </w:r>
      <w:r>
        <w:rPr>
          <w:rFonts w:hint="eastAsia" w:ascii="仿宋_GB2312" w:eastAsia="仿宋_GB2312"/>
          <w:color w:val="000000" w:themeColor="text1"/>
          <w:sz w:val="32"/>
          <w:szCs w:val="32"/>
          <w:lang w:val="en-US" w:eastAsia="zh-CN"/>
          <w14:textFill>
            <w14:solidFill>
              <w14:schemeClr w14:val="tx1"/>
            </w14:solidFill>
          </w14:textFill>
        </w:rPr>
        <w:t xml:space="preserve">自评得分81.63分，存在绩效问题有三点：1.项目储备率较少，因该单位无法争取上级资金；2.预算执行不够严格，全年预算执行不太及时，年末支出进度不理想，没能全部完成预期进度目标；3.部分单位预算项目未能全部完成，项目实际完成率较高，项目任务目标完成情况良好。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（二）部门决算中项目绩效自评结果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我单位在部门决算中反映</w:t>
      </w:r>
      <w:r>
        <w:rPr>
          <w:rFonts w:hint="eastAsia" w:ascii="仿宋_GB2312" w:eastAsia="仿宋_GB2312"/>
          <w:color w:val="000000" w:themeColor="text1"/>
          <w:sz w:val="32"/>
          <w:szCs w:val="32"/>
          <w:lang w:eastAsia="zh-CN"/>
          <w14:textFill>
            <w14:solidFill>
              <w14:schemeClr w14:val="tx1"/>
            </w14:solidFill>
          </w14:textFill>
        </w:rPr>
        <w:t>治安管理</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办公场所租赁及维护</w:t>
      </w:r>
      <w:r>
        <w:rPr>
          <w:rFonts w:hint="eastAsia" w:ascii="仿宋_GB2312" w:eastAsia="仿宋_GB2312"/>
          <w:color w:val="000000" w:themeColor="text1"/>
          <w:sz w:val="32"/>
          <w:szCs w:val="32"/>
          <w14:textFill>
            <w14:solidFill>
              <w14:schemeClr w14:val="tx1"/>
            </w14:solidFill>
          </w14:textFill>
        </w:rPr>
        <w:t>等</w:t>
      </w:r>
      <w:r>
        <w:rPr>
          <w:rFonts w:hint="eastAsia" w:ascii="仿宋_GB2312" w:eastAsia="仿宋_GB2312"/>
          <w:color w:val="000000" w:themeColor="text1"/>
          <w:sz w:val="32"/>
          <w:szCs w:val="32"/>
          <w:lang w:val="en-US" w:eastAsia="zh-CN"/>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个项目绩效自评结果（包括项目绩效自评表和项目绩效自评报告）。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治安管理</w:t>
      </w:r>
      <w:r>
        <w:rPr>
          <w:rFonts w:hint="eastAsia" w:ascii="仿宋_GB2312" w:eastAsia="仿宋_GB2312"/>
          <w:color w:val="000000" w:themeColor="text1"/>
          <w:sz w:val="32"/>
          <w:szCs w:val="32"/>
          <w14:textFill>
            <w14:solidFill>
              <w14:schemeClr w14:val="tx1"/>
            </w14:solidFill>
          </w14:textFill>
        </w:rPr>
        <w:t>项目绩效自评表：</w:t>
      </w:r>
      <w:r>
        <w:rPr>
          <w:rFonts w:hint="eastAsia" w:ascii="仿宋_GB2312" w:eastAsia="仿宋_GB2312"/>
          <w:color w:val="000000" w:themeColor="text1"/>
          <w:sz w:val="32"/>
          <w:szCs w:val="32"/>
          <w:lang w:eastAsia="zh-CN"/>
          <w14:textFill>
            <w14:solidFill>
              <w14:schemeClr w14:val="tx1"/>
            </w14:solidFill>
          </w14:textFill>
        </w:rPr>
        <w:drawing>
          <wp:anchor distT="0" distB="0" distL="114300" distR="114300" simplePos="0" relativeHeight="251658240" behindDoc="0" locked="0" layoutInCell="1" allowOverlap="1">
            <wp:simplePos x="0" y="0"/>
            <wp:positionH relativeFrom="column">
              <wp:posOffset>2844800</wp:posOffset>
            </wp:positionH>
            <wp:positionV relativeFrom="paragraph">
              <wp:posOffset>-372745</wp:posOffset>
            </wp:positionV>
            <wp:extent cx="1930400" cy="654050"/>
            <wp:effectExtent l="0" t="0" r="12700" b="12700"/>
            <wp:wrapNone/>
            <wp:docPr id="1" name="图片 1" descr="治安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治安管理"/>
                    <pic:cNvPicPr>
                      <a:picLocks noChangeAspect="1"/>
                    </pic:cNvPicPr>
                  </pic:nvPicPr>
                  <pic:blipFill>
                    <a:blip r:embed="rId6"/>
                    <a:stretch>
                      <a:fillRect/>
                    </a:stretch>
                  </pic:blipFill>
                  <pic:spPr>
                    <a:xfrm>
                      <a:off x="0" y="0"/>
                      <a:ext cx="1930400" cy="65405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drawing>
          <wp:anchor distT="0" distB="0" distL="114300" distR="114300" simplePos="0" relativeHeight="251659264" behindDoc="0" locked="0" layoutInCell="1" allowOverlap="1">
            <wp:simplePos x="0" y="0"/>
            <wp:positionH relativeFrom="column">
              <wp:posOffset>4055745</wp:posOffset>
            </wp:positionH>
            <wp:positionV relativeFrom="paragraph">
              <wp:posOffset>2611755</wp:posOffset>
            </wp:positionV>
            <wp:extent cx="1889760" cy="758190"/>
            <wp:effectExtent l="0" t="0" r="15240" b="3810"/>
            <wp:wrapNone/>
            <wp:docPr id="2" name="图片 2" descr="/home/uos/Desktop/黎培丽/区财政局要办事项/2024年决算/办公场所租赁及维护.png办公场所租赁及维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ome/uos/Desktop/黎培丽/区财政局要办事项/2024年决算/办公场所租赁及维护.png办公场所租赁及维护"/>
                    <pic:cNvPicPr>
                      <a:picLocks noChangeAspect="1"/>
                    </pic:cNvPicPr>
                  </pic:nvPicPr>
                  <pic:blipFill>
                    <a:blip r:embed="rId7"/>
                    <a:srcRect/>
                    <a:stretch>
                      <a:fillRect/>
                    </a:stretch>
                  </pic:blipFill>
                  <pic:spPr>
                    <a:xfrm>
                      <a:off x="0" y="0"/>
                      <a:ext cx="1889760" cy="758190"/>
                    </a:xfrm>
                    <a:prstGeom prst="rect">
                      <a:avLst/>
                    </a:prstGeom>
                  </pic:spPr>
                </pic:pic>
              </a:graphicData>
            </a:graphic>
          </wp:anchor>
        </w:drawing>
      </w:r>
      <w:r>
        <w:rPr>
          <w:rFonts w:hint="eastAsia" w:ascii="仿宋_GB2312" w:eastAsia="仿宋_GB2312"/>
          <w:color w:val="000000" w:themeColor="text1"/>
          <w:sz w:val="32"/>
          <w:szCs w:val="32"/>
          <w:lang w:eastAsia="zh-CN"/>
          <w14:textFill>
            <w14:solidFill>
              <w14:schemeClr w14:val="tx1"/>
            </w14:solidFill>
          </w14:textFill>
        </w:rPr>
        <w:t>治安管理</w:t>
      </w:r>
      <w:r>
        <w:rPr>
          <w:rFonts w:hint="eastAsia" w:ascii="仿宋_GB2312" w:eastAsia="仿宋_GB2312"/>
          <w:color w:val="000000" w:themeColor="text1"/>
          <w:sz w:val="32"/>
          <w:szCs w:val="32"/>
          <w14:textFill>
            <w14:solidFill>
              <w14:schemeClr w14:val="tx1"/>
            </w14:solidFill>
          </w14:textFill>
        </w:rPr>
        <w:t>项目绩效自评报告：根据年初设定的绩效目标，项目绩效自评得分为</w:t>
      </w:r>
      <w:r>
        <w:rPr>
          <w:rFonts w:hint="eastAsia" w:ascii="仿宋_GB2312" w:eastAsia="仿宋_GB2312"/>
          <w:color w:val="000000" w:themeColor="text1"/>
          <w:sz w:val="32"/>
          <w:szCs w:val="32"/>
          <w:lang w:val="en-US" w:eastAsia="zh-CN"/>
          <w14:textFill>
            <w14:solidFill>
              <w14:schemeClr w14:val="tx1"/>
            </w14:solidFill>
          </w14:textFill>
        </w:rPr>
        <w:t>99.93</w:t>
      </w:r>
      <w:r>
        <w:rPr>
          <w:rFonts w:hint="eastAsia" w:ascii="仿宋_GB2312" w:eastAsia="仿宋_GB2312"/>
          <w:color w:val="000000" w:themeColor="text1"/>
          <w:sz w:val="32"/>
          <w:szCs w:val="32"/>
          <w14:textFill>
            <w14:solidFill>
              <w14:schemeClr w14:val="tx1"/>
            </w14:solidFill>
          </w14:textFill>
        </w:rPr>
        <w:t>分。全年预算数为</w:t>
      </w:r>
      <w:r>
        <w:rPr>
          <w:rFonts w:hint="eastAsia" w:ascii="仿宋_GB2312" w:eastAsia="仿宋_GB2312"/>
          <w:color w:val="000000" w:themeColor="text1"/>
          <w:sz w:val="32"/>
          <w:szCs w:val="32"/>
          <w:lang w:val="en-US" w:eastAsia="zh-CN"/>
          <w14:textFill>
            <w14:solidFill>
              <w14:schemeClr w14:val="tx1"/>
            </w14:solidFill>
          </w14:textFill>
        </w:rPr>
        <w:t>102.8</w:t>
      </w:r>
      <w:r>
        <w:rPr>
          <w:rFonts w:hint="eastAsia" w:ascii="仿宋_GB2312" w:eastAsia="仿宋_GB2312"/>
          <w:color w:val="000000" w:themeColor="text1"/>
          <w:sz w:val="32"/>
          <w:szCs w:val="32"/>
          <w14:textFill>
            <w14:solidFill>
              <w14:schemeClr w14:val="tx1"/>
            </w14:solidFill>
          </w14:textFill>
        </w:rPr>
        <w:t>万元，执行数为</w:t>
      </w:r>
      <w:r>
        <w:rPr>
          <w:rFonts w:hint="eastAsia" w:ascii="仿宋_GB2312" w:eastAsia="仿宋_GB2312"/>
          <w:color w:val="000000" w:themeColor="text1"/>
          <w:sz w:val="32"/>
          <w:szCs w:val="32"/>
          <w:lang w:val="en-US" w:eastAsia="zh-CN"/>
          <w14:textFill>
            <w14:solidFill>
              <w14:schemeClr w14:val="tx1"/>
            </w14:solidFill>
          </w14:textFill>
        </w:rPr>
        <w:t>102.03</w:t>
      </w:r>
      <w:r>
        <w:rPr>
          <w:rFonts w:hint="eastAsia" w:ascii="仿宋_GB2312" w:eastAsia="仿宋_GB2312"/>
          <w:color w:val="000000" w:themeColor="text1"/>
          <w:sz w:val="32"/>
          <w:szCs w:val="32"/>
          <w14:textFill>
            <w14:solidFill>
              <w14:schemeClr w14:val="tx1"/>
            </w14:solidFill>
          </w14:textFill>
        </w:rPr>
        <w:t>万元，完成预算的</w:t>
      </w:r>
      <w:r>
        <w:rPr>
          <w:rFonts w:hint="eastAsia" w:ascii="仿宋_GB2312" w:eastAsia="仿宋_GB2312"/>
          <w:color w:val="000000" w:themeColor="text1"/>
          <w:sz w:val="32"/>
          <w:szCs w:val="32"/>
          <w:lang w:val="en-US" w:eastAsia="zh-CN"/>
          <w14:textFill>
            <w14:solidFill>
              <w14:schemeClr w14:val="tx1"/>
            </w14:solidFill>
          </w14:textFill>
        </w:rPr>
        <w:t>99.25</w:t>
      </w:r>
      <w:r>
        <w:rPr>
          <w:rFonts w:hint="eastAsia" w:ascii="仿宋_GB2312" w:eastAsia="仿宋_GB2312"/>
          <w:color w:val="000000" w:themeColor="text1"/>
          <w:sz w:val="32"/>
          <w:szCs w:val="32"/>
          <w14:textFill>
            <w14:solidFill>
              <w14:schemeClr w14:val="tx1"/>
            </w14:solidFill>
          </w14:textFill>
        </w:rPr>
        <w:t>%。项目绩效目标完成情况：</w:t>
      </w:r>
      <w:r>
        <w:rPr>
          <w:rFonts w:hint="eastAsia" w:ascii="仿宋_GB2312" w:eastAsia="仿宋_GB2312"/>
          <w:color w:val="000000" w:themeColor="text1"/>
          <w:sz w:val="32"/>
          <w:szCs w:val="32"/>
          <w:lang w:eastAsia="zh-CN"/>
          <w14:textFill>
            <w14:solidFill>
              <w14:schemeClr w14:val="tx1"/>
            </w14:solidFill>
          </w14:textFill>
        </w:rPr>
        <w:t>一是按要求完成支付区政府大院安保服务项目和派驻区武装部（6名安保人员）安保服务项目费用</w:t>
      </w:r>
      <w:r>
        <w:rPr>
          <w:rFonts w:hint="eastAsia" w:ascii="仿宋_GB2312" w:eastAsia="仿宋_GB2312"/>
          <w:color w:val="000000" w:themeColor="text1"/>
          <w:sz w:val="32"/>
          <w:szCs w:val="32"/>
          <w14:textFill>
            <w14:solidFill>
              <w14:schemeClr w14:val="tx1"/>
            </w14:solidFill>
          </w14:textFill>
        </w:rPr>
        <w:t>；二是</w:t>
      </w:r>
      <w:r>
        <w:rPr>
          <w:rFonts w:hint="eastAsia" w:ascii="仿宋_GB2312" w:eastAsia="仿宋_GB2312"/>
          <w:color w:val="000000" w:themeColor="text1"/>
          <w:sz w:val="32"/>
          <w:szCs w:val="32"/>
          <w:lang w:eastAsia="zh-CN"/>
          <w14:textFill>
            <w14:solidFill>
              <w14:schemeClr w14:val="tx1"/>
            </w14:solidFill>
          </w14:textFill>
        </w:rPr>
        <w:t>按要求更新消防设备等费用</w:t>
      </w:r>
      <w:r>
        <w:rPr>
          <w:rFonts w:hint="eastAsia" w:ascii="仿宋_GB2312" w:eastAsia="仿宋_GB2312"/>
          <w:color w:val="000000" w:themeColor="text1"/>
          <w:sz w:val="32"/>
          <w:szCs w:val="32"/>
          <w14:textFill>
            <w14:solidFill>
              <w14:schemeClr w14:val="tx1"/>
            </w14:solidFill>
          </w14:textFill>
        </w:rPr>
        <w:t>。发现的主要问题及原因：</w:t>
      </w:r>
      <w:r>
        <w:rPr>
          <w:rFonts w:hint="eastAsia" w:ascii="仿宋_GB2312" w:eastAsia="仿宋_GB2312"/>
          <w:color w:val="000000" w:themeColor="text1"/>
          <w:sz w:val="32"/>
          <w:szCs w:val="32"/>
          <w:lang w:eastAsia="zh-CN"/>
          <w14:textFill>
            <w14:solidFill>
              <w14:schemeClr w14:val="tx1"/>
            </w14:solidFill>
          </w14:textFill>
        </w:rPr>
        <w:t>年初预算编制不够精确，剩余</w:t>
      </w:r>
      <w:r>
        <w:rPr>
          <w:rFonts w:hint="eastAsia" w:ascii="仿宋_GB2312" w:eastAsia="仿宋_GB2312"/>
          <w:color w:val="000000" w:themeColor="text1"/>
          <w:sz w:val="32"/>
          <w:szCs w:val="32"/>
          <w:lang w:val="en-US" w:eastAsia="zh-CN"/>
          <w14:textFill>
            <w14:solidFill>
              <w14:schemeClr w14:val="tx1"/>
            </w14:solidFill>
          </w14:textFill>
        </w:rPr>
        <w:t>7661.24元为项目结余</w:t>
      </w:r>
      <w:r>
        <w:rPr>
          <w:rFonts w:hint="eastAsia" w:ascii="仿宋_GB2312" w:eastAsia="仿宋_GB2312"/>
          <w:color w:val="000000" w:themeColor="text1"/>
          <w:sz w:val="32"/>
          <w:szCs w:val="32"/>
          <w14:textFill>
            <w14:solidFill>
              <w14:schemeClr w14:val="tx1"/>
            </w14:solidFill>
          </w14:textFill>
        </w:rPr>
        <w:t>。下一步改进措施：</w:t>
      </w:r>
      <w:r>
        <w:rPr>
          <w:rFonts w:hint="eastAsia" w:ascii="仿宋_GB2312" w:eastAsia="仿宋_GB2312"/>
          <w:color w:val="000000" w:themeColor="text1"/>
          <w:sz w:val="32"/>
          <w:szCs w:val="32"/>
          <w:lang w:eastAsia="zh-CN"/>
          <w14:textFill>
            <w14:solidFill>
              <w14:schemeClr w14:val="tx1"/>
            </w14:solidFill>
          </w14:textFill>
        </w:rPr>
        <w:t>提高财务人员业务能力，确保编制预算精准（除应急突发事件外）</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办公场所租赁及维护</w:t>
      </w:r>
      <w:r>
        <w:rPr>
          <w:rFonts w:hint="eastAsia" w:ascii="仿宋_GB2312" w:eastAsia="仿宋_GB2312"/>
          <w:color w:val="000000" w:themeColor="text1"/>
          <w:sz w:val="32"/>
          <w:szCs w:val="32"/>
          <w14:textFill>
            <w14:solidFill>
              <w14:schemeClr w14:val="tx1"/>
            </w14:solidFill>
          </w14:textFill>
        </w:rPr>
        <w:t>项目绩效自评表：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color w:val="000000" w:themeColor="text1"/>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办公场所租赁及维护</w:t>
      </w:r>
      <w:r>
        <w:rPr>
          <w:rFonts w:hint="eastAsia" w:ascii="仿宋_GB2312" w:eastAsia="仿宋_GB2312"/>
          <w:color w:val="000000" w:themeColor="text1"/>
          <w:sz w:val="32"/>
          <w:szCs w:val="32"/>
          <w14:textFill>
            <w14:solidFill>
              <w14:schemeClr w14:val="tx1"/>
            </w14:solidFill>
          </w14:textFill>
        </w:rPr>
        <w:t>项目绩效自评报告：根据年初设定的绩效目标，项目绩效自评得分为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分。全年预算数为</w:t>
      </w:r>
      <w:r>
        <w:rPr>
          <w:rFonts w:hint="eastAsia" w:ascii="仿宋_GB2312" w:eastAsia="仿宋_GB2312"/>
          <w:color w:val="000000" w:themeColor="text1"/>
          <w:sz w:val="32"/>
          <w:szCs w:val="32"/>
          <w:lang w:val="en-US" w:eastAsia="zh-CN"/>
          <w14:textFill>
            <w14:solidFill>
              <w14:schemeClr w14:val="tx1"/>
            </w14:solidFill>
          </w14:textFill>
        </w:rPr>
        <w:t>192.75</w:t>
      </w:r>
      <w:r>
        <w:rPr>
          <w:rFonts w:hint="eastAsia" w:ascii="仿宋_GB2312" w:eastAsia="仿宋_GB2312"/>
          <w:color w:val="000000" w:themeColor="text1"/>
          <w:sz w:val="32"/>
          <w:szCs w:val="32"/>
          <w14:textFill>
            <w14:solidFill>
              <w14:schemeClr w14:val="tx1"/>
            </w14:solidFill>
          </w14:textFill>
        </w:rPr>
        <w:t>万元，执行数为</w:t>
      </w:r>
      <w:r>
        <w:rPr>
          <w:rFonts w:hint="eastAsia" w:ascii="仿宋_GB2312" w:eastAsia="仿宋_GB2312"/>
          <w:color w:val="000000" w:themeColor="text1"/>
          <w:sz w:val="32"/>
          <w:szCs w:val="32"/>
          <w:lang w:val="en-US" w:eastAsia="zh-CN"/>
          <w14:textFill>
            <w14:solidFill>
              <w14:schemeClr w14:val="tx1"/>
            </w14:solidFill>
          </w14:textFill>
        </w:rPr>
        <w:t>192.75</w:t>
      </w:r>
      <w:r>
        <w:rPr>
          <w:rFonts w:hint="eastAsia" w:ascii="仿宋_GB2312" w:eastAsia="仿宋_GB2312"/>
          <w:color w:val="000000" w:themeColor="text1"/>
          <w:sz w:val="32"/>
          <w:szCs w:val="32"/>
          <w14:textFill>
            <w14:solidFill>
              <w14:schemeClr w14:val="tx1"/>
            </w14:solidFill>
          </w14:textFill>
        </w:rPr>
        <w:t>万元，完成预算的</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%。项目绩效目标完成情况：</w:t>
      </w:r>
      <w:r>
        <w:rPr>
          <w:rFonts w:hint="eastAsia" w:ascii="仿宋_GB2312" w:eastAsia="仿宋_GB2312"/>
          <w:color w:val="000000" w:themeColor="text1"/>
          <w:sz w:val="32"/>
          <w:szCs w:val="32"/>
          <w:lang w:eastAsia="zh-CN"/>
          <w14:textFill>
            <w14:solidFill>
              <w14:schemeClr w14:val="tx1"/>
            </w14:solidFill>
          </w14:textFill>
        </w:rPr>
        <w:t>按时完成公房的租赁费用和维修维护</w:t>
      </w:r>
      <w:r>
        <w:rPr>
          <w:rFonts w:hint="eastAsia" w:ascii="仿宋_GB2312" w:eastAsia="仿宋_GB2312"/>
          <w:color w:val="000000" w:themeColor="text1"/>
          <w:sz w:val="32"/>
          <w:szCs w:val="32"/>
          <w14:textFill>
            <w14:solidFill>
              <w14:schemeClr w14:val="tx1"/>
            </w14:solidFill>
          </w14:textFill>
        </w:rPr>
        <w:t>。发现的主要问题及原因：</w:t>
      </w:r>
      <w:r>
        <w:rPr>
          <w:rFonts w:hint="eastAsia" w:ascii="仿宋_GB2312" w:eastAsia="仿宋_GB2312"/>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2"/>
          <w14:textFill>
            <w14:solidFill>
              <w14:schemeClr w14:val="tx1"/>
            </w14:solidFill>
          </w14:textFill>
        </w:rPr>
        <w:t>。下一步改进措施：</w:t>
      </w:r>
      <w:r>
        <w:rPr>
          <w:rFonts w:hint="eastAsia" w:ascii="仿宋_GB2312" w:eastAsia="仿宋_GB2312"/>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部门评价结果</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部门评价项目数量在3个以内的，至少将1个部门评价报告向社会公开；部门评价项目数量大于3个的，至少将2个部门评价报告向社会公开。</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r>
        <w:rPr>
          <w:rFonts w:hint="eastAsia" w:ascii="楷体" w:hAnsi="楷体" w:eastAsia="楷体" w:cs="楷体"/>
          <w:bCs/>
          <w:color w:val="000000" w:themeColor="text1"/>
          <w:sz w:val="32"/>
          <w:szCs w:val="32"/>
          <w14:textFill>
            <w14:solidFill>
              <w14:schemeClr w14:val="tx1"/>
            </w14:solidFill>
          </w14:textFill>
        </w:rPr>
        <w:t>（四）财政评价结果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zh-CN"/>
          <w14:textFill>
            <w14:solidFill>
              <w14:schemeClr w14:val="tx1"/>
            </w14:solidFill>
          </w14:textFill>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bookmarkStart w:id="96" w:name="_Toc18325_WPSOffice_Level2"/>
      <w:bookmarkStart w:id="97" w:name="_Toc15262_WPSOffice_Level2"/>
      <w:bookmarkStart w:id="98" w:name="_Toc15565_WPSOffice_Level2"/>
      <w:bookmarkStart w:id="99" w:name="_Toc5978_WPSOffice_Level2"/>
      <w:bookmarkStart w:id="100" w:name="_Toc23598_WPSOffice_Level2"/>
      <w:bookmarkStart w:id="101" w:name="_Toc32639_WPSOffice_Level2"/>
      <w:r>
        <w:rPr>
          <w:rFonts w:hint="eastAsia" w:ascii="楷体" w:hAnsi="楷体" w:eastAsia="楷体" w:cs="楷体"/>
          <w:bCs/>
          <w:color w:val="000000" w:themeColor="text1"/>
          <w:sz w:val="32"/>
          <w:szCs w:val="32"/>
          <w14:textFill>
            <w14:solidFill>
              <w14:schemeClr w14:val="tx1"/>
            </w14:solidFill>
          </w14:textFill>
        </w:rPr>
        <w:t>（一）机关运行经费支出情况</w:t>
      </w:r>
      <w:bookmarkEnd w:id="96"/>
      <w:bookmarkEnd w:id="97"/>
      <w:bookmarkEnd w:id="98"/>
      <w:bookmarkEnd w:id="99"/>
      <w:bookmarkEnd w:id="100"/>
      <w:bookmarkEnd w:id="101"/>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w:t>
      </w:r>
      <w:r>
        <w:rPr>
          <w:rFonts w:hint="default" w:ascii="仿宋_GB2312" w:hAnsi="ˎ̥" w:eastAsia="仿宋_GB2312"/>
          <w:color w:val="000000" w:themeColor="text1"/>
          <w:sz w:val="32"/>
          <w:szCs w:val="32"/>
          <w:lang w:val="en-US"/>
          <w14:textFill>
            <w14:solidFill>
              <w14:schemeClr w14:val="tx1"/>
            </w14:solidFill>
          </w14:textFill>
        </w:rPr>
        <w:t>三亚市天涯区人民政府办公室（本级）</w:t>
      </w:r>
      <w:r>
        <w:rPr>
          <w:rFonts w:hint="eastAsia" w:ascii="仿宋_GB2312" w:hAnsi="ˎ̥" w:eastAsia="仿宋_GB2312"/>
          <w:color w:val="000000" w:themeColor="text1"/>
          <w:sz w:val="32"/>
          <w:szCs w:val="32"/>
          <w14:textFill>
            <w14:solidFill>
              <w14:schemeClr w14:val="tx1"/>
            </w14:solidFill>
          </w14:textFill>
        </w:rPr>
        <w:t>机关运行经费</w:t>
      </w:r>
      <w:r>
        <w:rPr>
          <w:rFonts w:hint="eastAsia" w:ascii="仿宋_GB2312" w:hAnsi="ˎ̥" w:eastAsia="仿宋_GB2312"/>
          <w:color w:val="000000" w:themeColor="text1"/>
          <w:sz w:val="32"/>
          <w:szCs w:val="32"/>
          <w:lang w:val="en-US" w:eastAsia="zh-CN"/>
          <w14:textFill>
            <w14:solidFill>
              <w14:schemeClr w14:val="tx1"/>
            </w14:solidFill>
          </w14:textFill>
        </w:rPr>
        <w:t>83</w:t>
      </w:r>
      <w:r>
        <w:rPr>
          <w:rFonts w:hint="eastAsia" w:ascii="仿宋_GB2312" w:hAnsi="ˎ̥" w:eastAsia="仿宋_GB2312"/>
          <w:color w:val="000000" w:themeColor="text1"/>
          <w:sz w:val="32"/>
          <w:szCs w:val="32"/>
          <w14:textFill>
            <w14:solidFill>
              <w14:schemeClr w14:val="tx1"/>
            </w14:solidFill>
          </w14:textFill>
        </w:rPr>
        <w:t>万元（为部门决算中行政单位和参公事业单位财政拨款基本支出中公用经费支出之和，事业单位没有机关运行经费支出），比年初预算增加</w:t>
      </w:r>
      <w:r>
        <w:rPr>
          <w:rFonts w:hint="eastAsia" w:ascii="仿宋_GB2312" w:hAnsi="ˎ̥" w:eastAsia="仿宋_GB2312"/>
          <w:color w:val="000000" w:themeColor="text1"/>
          <w:sz w:val="32"/>
          <w:szCs w:val="32"/>
          <w:lang w:val="en-US" w:eastAsia="zh-CN"/>
          <w14:textFill>
            <w14:solidFill>
              <w14:schemeClr w14:val="tx1"/>
            </w14:solidFill>
          </w14:textFill>
        </w:rPr>
        <w:t>47.26</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val="en-US" w:eastAsia="zh-CN"/>
          <w14:textFill>
            <w14:solidFill>
              <w14:schemeClr w14:val="tx1"/>
            </w14:solidFill>
          </w14:textFill>
        </w:rPr>
        <w:t>完成预算的232.23</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与2023年度相比，机关运行经费</w:t>
      </w:r>
      <w:r>
        <w:rPr>
          <w:rFonts w:hint="eastAsia" w:ascii="仿宋_GB2312" w:hAnsi="ˎ̥" w:eastAsia="仿宋_GB2312"/>
          <w:color w:val="000000" w:themeColor="text1"/>
          <w:sz w:val="32"/>
          <w:szCs w:val="32"/>
          <w14:textFill>
            <w14:solidFill>
              <w14:schemeClr w14:val="tx1"/>
            </w14:solidFill>
          </w14:textFill>
        </w:rPr>
        <w:t>增加</w:t>
      </w:r>
      <w:r>
        <w:rPr>
          <w:rFonts w:hint="eastAsia" w:ascii="仿宋_GB2312" w:hAnsi="ˎ̥" w:eastAsia="仿宋_GB2312"/>
          <w:color w:val="000000" w:themeColor="text1"/>
          <w:sz w:val="32"/>
          <w:szCs w:val="32"/>
          <w:lang w:val="en-US" w:eastAsia="zh-CN"/>
          <w14:textFill>
            <w14:solidFill>
              <w14:schemeClr w14:val="tx1"/>
            </w14:solidFill>
          </w14:textFill>
        </w:rPr>
        <w:t>38.43</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lang w:eastAsia="zh-CN"/>
          <w14:textFill>
            <w14:solidFill>
              <w14:schemeClr w14:val="tx1"/>
            </w14:solidFill>
          </w14:textFill>
        </w:rPr>
        <w:t>，</w:t>
      </w:r>
      <w:r>
        <w:rPr>
          <w:rFonts w:hint="eastAsia" w:ascii="仿宋_GB2312" w:hAnsi="ˎ̥" w:eastAsia="仿宋_GB2312"/>
          <w:color w:val="000000" w:themeColor="text1"/>
          <w:sz w:val="32"/>
          <w:szCs w:val="32"/>
          <w:lang w:val="en-US" w:eastAsia="zh-CN"/>
          <w14:textFill>
            <w14:solidFill>
              <w14:schemeClr w14:val="tx1"/>
            </w14:solidFill>
          </w14:textFill>
        </w:rPr>
        <w:t>增长86.22%。</w:t>
      </w:r>
      <w:r>
        <w:rPr>
          <w:rFonts w:hint="eastAsia" w:ascii="仿宋_GB2312" w:hAnsi="ˎ̥" w:eastAsia="仿宋_GB2312"/>
          <w:color w:val="000000" w:themeColor="text1"/>
          <w:sz w:val="32"/>
          <w:szCs w:val="32"/>
          <w14:textFill>
            <w14:solidFill>
              <w14:schemeClr w14:val="tx1"/>
            </w14:solidFill>
          </w14:textFill>
        </w:rPr>
        <w:t>主要原因是：</w:t>
      </w:r>
      <w:r>
        <w:rPr>
          <w:rFonts w:hint="eastAsia" w:ascii="仿宋_GB2312" w:hAnsi="ˎ̥" w:eastAsia="仿宋_GB2312"/>
          <w:color w:val="000000" w:themeColor="text1"/>
          <w:sz w:val="32"/>
          <w:szCs w:val="32"/>
          <w:lang w:eastAsia="zh-CN"/>
          <w14:textFill>
            <w14:solidFill>
              <w14:schemeClr w14:val="tx1"/>
            </w14:solidFill>
          </w14:textFill>
        </w:rPr>
        <w:t>因公出国（境）费增加</w:t>
      </w:r>
      <w:r>
        <w:rPr>
          <w:rFonts w:hint="eastAsia" w:ascii="仿宋_GB2312" w:hAnsi="ˎ̥" w:eastAsia="仿宋_GB2312"/>
          <w:color w:val="000000" w:themeColor="text1"/>
          <w:sz w:val="32"/>
          <w:szCs w:val="32"/>
          <w:lang w:val="en-US" w:eastAsia="zh-CN"/>
          <w14:textFill>
            <w14:solidFill>
              <w14:schemeClr w14:val="tx1"/>
            </w14:solidFill>
          </w14:textFill>
        </w:rPr>
        <w:t>41.81万元用于支付天涯区五人团组前往香港及日本招商工作费用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bookmarkStart w:id="102" w:name="_Toc13084_WPSOffice_Level2"/>
      <w:bookmarkStart w:id="103" w:name="_Toc32689_WPSOffice_Level2"/>
      <w:bookmarkStart w:id="104" w:name="_Toc3131_WPSOffice_Level2"/>
      <w:bookmarkStart w:id="105" w:name="_Toc23966_WPSOffice_Level2"/>
      <w:bookmarkStart w:id="106" w:name="_Toc30383_WPSOffice_Level2"/>
      <w:bookmarkStart w:id="107" w:name="_Toc25333_WPSOffice_Level2"/>
      <w:r>
        <w:rPr>
          <w:rFonts w:hint="eastAsia" w:ascii="楷体" w:hAnsi="楷体" w:eastAsia="楷体" w:cs="楷体"/>
          <w:bCs/>
          <w:color w:val="000000" w:themeColor="text1"/>
          <w:sz w:val="32"/>
          <w:szCs w:val="32"/>
          <w14:textFill>
            <w14:solidFill>
              <w14:schemeClr w14:val="tx1"/>
            </w14:solidFill>
          </w14:textFill>
        </w:rPr>
        <w:t>（二）政府采购支出情况</w:t>
      </w:r>
      <w:bookmarkEnd w:id="102"/>
      <w:bookmarkEnd w:id="103"/>
      <w:bookmarkEnd w:id="104"/>
      <w:bookmarkEnd w:id="105"/>
      <w:bookmarkEnd w:id="106"/>
      <w:bookmarkEnd w:id="107"/>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ˎ̥" w:eastAsia="仿宋_GB2312"/>
          <w:color w:val="000000" w:themeColor="text1"/>
          <w:sz w:val="32"/>
          <w:szCs w:val="32"/>
          <w14:textFill>
            <w14:solidFill>
              <w14:schemeClr w14:val="tx1"/>
            </w14:solidFill>
          </w14:textFill>
        </w:rPr>
      </w:pPr>
      <w:r>
        <w:rPr>
          <w:rFonts w:hint="default" w:ascii="仿宋_GB2312" w:hAnsi="ˎ̥" w:eastAsia="仿宋_GB2312"/>
          <w:color w:val="000000" w:themeColor="text1"/>
          <w:sz w:val="32"/>
          <w:szCs w:val="32"/>
          <w:lang w:val="en-US"/>
          <w14:textFill>
            <w14:solidFill>
              <w14:schemeClr w14:val="tx1"/>
            </w14:solidFill>
          </w14:textFill>
        </w:rPr>
        <w:t>2024</w:t>
      </w:r>
      <w:r>
        <w:rPr>
          <w:rFonts w:hint="eastAsia" w:ascii="仿宋_GB2312" w:hAnsi="ˎ̥" w:eastAsia="仿宋_GB2312"/>
          <w:color w:val="000000" w:themeColor="text1"/>
          <w:sz w:val="32"/>
          <w:szCs w:val="32"/>
          <w14:textFill>
            <w14:solidFill>
              <w14:schemeClr w14:val="tx1"/>
            </w14:solidFill>
          </w14:textFill>
        </w:rPr>
        <w:t>年度</w:t>
      </w:r>
      <w:r>
        <w:rPr>
          <w:rFonts w:hint="eastAsia" w:ascii="仿宋_GB2312" w:hAnsi="ˎ̥" w:eastAsia="仿宋_GB2312"/>
          <w:color w:val="000000" w:themeColor="text1"/>
          <w:sz w:val="32"/>
          <w:szCs w:val="32"/>
          <w:lang w:val="en-US" w:eastAsia="zh-CN"/>
          <w14:textFill>
            <w14:solidFill>
              <w14:schemeClr w14:val="tx1"/>
            </w14:solidFill>
          </w14:textFill>
        </w:rPr>
        <w:t>三亚市天涯区人民政府办公室（本级）</w:t>
      </w:r>
      <w:r>
        <w:rPr>
          <w:rFonts w:hint="eastAsia" w:ascii="仿宋_GB2312" w:hAnsi="ˎ̥" w:eastAsia="仿宋_GB2312"/>
          <w:color w:val="000000" w:themeColor="text1"/>
          <w:sz w:val="32"/>
          <w:szCs w:val="32"/>
          <w14:textFill>
            <w14:solidFill>
              <w14:schemeClr w14:val="tx1"/>
            </w14:solidFill>
          </w14:textFill>
        </w:rPr>
        <w:t>政府采购支出总额</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万元，其中：政府采购货物支出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万元、政府采购工程支出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万元、政府采购服务支出</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万元。授予中小企业合同金额</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万元，占政府采购支出总额的</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%，其中：授予小微企业合同金额</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授予中小企业合同金额</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000000" w:themeColor="text1"/>
          <w:sz w:val="32"/>
          <w:szCs w:val="32"/>
          <w14:textFill>
            <w14:solidFill>
              <w14:schemeClr w14:val="tx1"/>
            </w14:solidFill>
          </w14:textFill>
        </w:rPr>
      </w:pPr>
      <w:bookmarkStart w:id="108" w:name="_Toc15129_WPSOffice_Level2"/>
      <w:bookmarkStart w:id="109" w:name="_Toc29584_WPSOffice_Level2"/>
      <w:bookmarkStart w:id="110" w:name="_Toc527_WPSOffice_Level2"/>
      <w:bookmarkStart w:id="111" w:name="_Toc6016_WPSOffice_Level2"/>
      <w:bookmarkStart w:id="112" w:name="_Toc10902_WPSOffice_Level2"/>
      <w:bookmarkStart w:id="113" w:name="_Toc19989_WPSOffice_Level2"/>
      <w:r>
        <w:rPr>
          <w:rFonts w:hint="eastAsia" w:ascii="楷体" w:hAnsi="楷体" w:eastAsia="楷体" w:cs="楷体"/>
          <w:bCs/>
          <w:color w:val="000000" w:themeColor="text1"/>
          <w:sz w:val="32"/>
          <w:szCs w:val="32"/>
          <w14:textFill>
            <w14:solidFill>
              <w14:schemeClr w14:val="tx1"/>
            </w14:solidFill>
          </w14:textFill>
        </w:rPr>
        <w:t>（三）国有资产占用情况</w:t>
      </w:r>
      <w:bookmarkEnd w:id="108"/>
      <w:bookmarkEnd w:id="109"/>
      <w:bookmarkEnd w:id="110"/>
      <w:bookmarkEnd w:id="111"/>
      <w:bookmarkEnd w:id="112"/>
      <w:bookmarkEnd w:id="11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Cs/>
          <w:color w:val="000000" w:themeColor="text1"/>
          <w:sz w:val="32"/>
          <w:szCs w:val="32"/>
          <w14:textFill>
            <w14:solidFill>
              <w14:schemeClr w14:val="tx1"/>
            </w14:solidFill>
          </w14:textFill>
        </w:rPr>
        <w:t>截至</w:t>
      </w:r>
      <w:r>
        <w:rPr>
          <w:rFonts w:hint="default" w:ascii="仿宋_GB2312" w:hAnsi="ˎ̥" w:eastAsia="仿宋_GB2312"/>
          <w:bCs/>
          <w:color w:val="000000" w:themeColor="text1"/>
          <w:sz w:val="32"/>
          <w:szCs w:val="32"/>
          <w:lang w:val="en-US"/>
          <w14:textFill>
            <w14:solidFill>
              <w14:schemeClr w14:val="tx1"/>
            </w14:solidFill>
          </w14:textFill>
        </w:rPr>
        <w:t>2024</w:t>
      </w:r>
      <w:r>
        <w:rPr>
          <w:rFonts w:hint="eastAsia" w:ascii="仿宋_GB2312" w:hAnsi="ˎ̥" w:eastAsia="仿宋_GB2312"/>
          <w:bCs/>
          <w:color w:val="000000" w:themeColor="text1"/>
          <w:sz w:val="32"/>
          <w:szCs w:val="32"/>
          <w14:textFill>
            <w14:solidFill>
              <w14:schemeClr w14:val="tx1"/>
            </w14:solidFill>
          </w14:textFill>
        </w:rPr>
        <w:t>年12月31日，本</w:t>
      </w:r>
      <w:r>
        <w:rPr>
          <w:rFonts w:hint="eastAsia" w:ascii="仿宋_GB2312" w:hAnsi="ˎ̥" w:eastAsia="仿宋_GB2312"/>
          <w:bCs/>
          <w:color w:val="000000" w:themeColor="text1"/>
          <w:sz w:val="32"/>
          <w:szCs w:val="32"/>
          <w:lang w:eastAsia="zh-CN"/>
          <w14:textFill>
            <w14:solidFill>
              <w14:schemeClr w14:val="tx1"/>
            </w14:solidFill>
          </w14:textFill>
        </w:rPr>
        <w:t>单位</w:t>
      </w:r>
      <w:r>
        <w:rPr>
          <w:rFonts w:hint="eastAsia" w:ascii="仿宋_GB2312" w:hAnsi="ˎ̥" w:eastAsia="仿宋_GB2312"/>
          <w:bCs/>
          <w:color w:val="000000" w:themeColor="text1"/>
          <w:sz w:val="32"/>
          <w:szCs w:val="32"/>
          <w14:textFill>
            <w14:solidFill>
              <w14:schemeClr w14:val="tx1"/>
            </w14:solidFill>
          </w14:textFill>
        </w:rPr>
        <w:t>拥有</w:t>
      </w:r>
      <w:r>
        <w:rPr>
          <w:rFonts w:hint="eastAsia" w:ascii="仿宋_GB2312" w:hAnsi="ˎ̥" w:eastAsia="仿宋_GB2312"/>
          <w:color w:val="000000" w:themeColor="text1"/>
          <w:sz w:val="32"/>
          <w:szCs w:val="32"/>
          <w14:textFill>
            <w14:solidFill>
              <w14:schemeClr w14:val="tx1"/>
            </w14:solidFill>
          </w14:textFill>
        </w:rPr>
        <w:t>房屋面积</w:t>
      </w:r>
      <w:r>
        <w:rPr>
          <w:rFonts w:hint="eastAsia" w:ascii="仿宋_GB2312" w:hAnsi="ˎ̥" w:eastAsia="仿宋_GB2312"/>
          <w:color w:val="000000" w:themeColor="text1"/>
          <w:sz w:val="32"/>
          <w:szCs w:val="32"/>
          <w:lang w:val="en-US" w:eastAsia="zh-CN"/>
          <w14:textFill>
            <w14:solidFill>
              <w14:schemeClr w14:val="tx1"/>
            </w14:solidFill>
          </w14:textFill>
        </w:rPr>
        <w:t>12835</w:t>
      </w:r>
      <w:r>
        <w:rPr>
          <w:rFonts w:hint="eastAsia" w:ascii="仿宋_GB2312" w:hAnsi="ˎ̥" w:eastAsia="仿宋_GB2312"/>
          <w:color w:val="000000" w:themeColor="text1"/>
          <w:sz w:val="32"/>
          <w:szCs w:val="32"/>
          <w14:textFill>
            <w14:solidFill>
              <w14:schemeClr w14:val="tx1"/>
            </w14:solidFill>
          </w14:textFill>
        </w:rPr>
        <w:t>平方米</w:t>
      </w:r>
      <w:r>
        <w:rPr>
          <w:rFonts w:hint="eastAsia" w:ascii="仿宋_GB2312" w:hAnsi="ˎ̥"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本</w:t>
      </w:r>
      <w:r>
        <w:rPr>
          <w:rFonts w:hint="eastAsia" w:ascii="仿宋_GB2312" w:hAnsi="ˎ̥" w:eastAsia="仿宋_GB2312"/>
          <w:color w:val="000000" w:themeColor="text1"/>
          <w:sz w:val="32"/>
          <w:szCs w:val="32"/>
          <w:lang w:eastAsia="zh-CN"/>
          <w14:textFill>
            <w14:solidFill>
              <w14:schemeClr w14:val="tx1"/>
            </w14:solidFill>
          </w14:textFill>
        </w:rPr>
        <w:t>单位</w:t>
      </w:r>
      <w:r>
        <w:rPr>
          <w:rFonts w:hint="eastAsia" w:ascii="仿宋_GB2312" w:hAnsi="ˎ̥" w:eastAsia="仿宋_GB2312"/>
          <w:color w:val="000000" w:themeColor="text1"/>
          <w:sz w:val="32"/>
          <w:szCs w:val="32"/>
          <w14:textFill>
            <w14:solidFill>
              <w14:schemeClr w14:val="tx1"/>
            </w14:solidFill>
          </w14:textFill>
        </w:rPr>
        <w:t>共有车辆</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辆，其中，副部（省）级及以上领导用车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辆、主要负责人用车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辆、机要通信用车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辆、应急保障用车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辆、执法执勤用车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辆、特种专业技术用车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辆、离退休干部服务用车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辆、其他用车</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辆。</w:t>
      </w:r>
      <w:r>
        <w:rPr>
          <w:rFonts w:hint="eastAsia" w:ascii="仿宋_GB2312" w:hAnsi="ˎ̥" w:eastAsia="仿宋_GB2312"/>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单价100万元（含）以上设备（不含车辆）</w:t>
      </w:r>
      <w:r>
        <w:rPr>
          <w:rFonts w:hint="eastAsia" w:ascii="仿宋_GB2312" w:hAnsi="ˎ̥" w:eastAsia="仿宋_GB2312"/>
          <w:color w:val="000000" w:themeColor="text1"/>
          <w:sz w:val="32"/>
          <w:szCs w:val="32"/>
          <w:lang w:val="en-US" w:eastAsia="zh-CN"/>
          <w14:textFill>
            <w14:solidFill>
              <w14:schemeClr w14:val="tx1"/>
            </w14:solidFill>
          </w14:textFill>
        </w:rPr>
        <w:t>0</w:t>
      </w:r>
      <w:r>
        <w:rPr>
          <w:rFonts w:hint="eastAsia" w:ascii="仿宋_GB2312" w:hAnsi="ˎ̥" w:eastAsia="仿宋_GB2312"/>
          <w:color w:val="000000" w:themeColor="text1"/>
          <w:sz w:val="32"/>
          <w:szCs w:val="32"/>
          <w14:textFill>
            <w14:solidFill>
              <w14:schemeClr w14:val="tx1"/>
            </w14:solidFill>
          </w14:textFill>
        </w:rPr>
        <w:t>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000000" w:themeColor="text1"/>
          <w:sz w:val="32"/>
          <w:szCs w:val="32"/>
          <w14:textFill>
            <w14:solidFill>
              <w14:schemeClr w14:val="tx1"/>
            </w14:solidFill>
          </w14:textFill>
        </w:rPr>
      </w:pPr>
      <w:bookmarkStart w:id="114" w:name="_Toc15425_WPSOffice_Level1"/>
      <w:bookmarkStart w:id="115" w:name="_Toc17580_WPSOffice_Level1"/>
      <w:bookmarkStart w:id="116" w:name="_Toc8808_WPSOffice_Level1"/>
      <w:bookmarkStart w:id="117" w:name="_Toc4398_WPSOffice_Level1"/>
      <w:bookmarkStart w:id="118" w:name="_Toc11039_WPSOffice_Level1"/>
      <w:bookmarkStart w:id="119" w:name="_Toc8874_WPSOffice_Level1"/>
      <w:r>
        <w:rPr>
          <w:rFonts w:hint="eastAsia" w:ascii="黑体" w:hAnsi="ˎ̥" w:eastAsia="黑体"/>
          <w:color w:val="000000" w:themeColor="text1"/>
          <w:sz w:val="32"/>
          <w:szCs w:val="32"/>
          <w14:textFill>
            <w14:solidFill>
              <w14:schemeClr w14:val="tx1"/>
            </w14:solidFill>
          </w14:textFill>
        </w:rPr>
        <w:t>第四部分  名词解释</w:t>
      </w:r>
      <w:bookmarkEnd w:id="114"/>
      <w:bookmarkEnd w:id="115"/>
      <w:bookmarkEnd w:id="116"/>
      <w:bookmarkEnd w:id="117"/>
      <w:bookmarkEnd w:id="118"/>
      <w:bookmarkEnd w:id="119"/>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000000" w:themeColor="text1"/>
          <w:sz w:val="32"/>
          <w:szCs w:val="32"/>
          <w14:textFill>
            <w14:solidFill>
              <w14:schemeClr w14:val="tx1"/>
            </w14:solidFill>
          </w14:textFill>
        </w:rPr>
      </w:pP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十六、</w:t>
      </w:r>
      <w:r>
        <w:rPr>
          <w:rFonts w:ascii="仿宋_GB2312" w:hAnsi="ˎ̥" w:eastAsia="仿宋_GB2312"/>
          <w:color w:val="000000" w:themeColor="text1"/>
          <w:sz w:val="32"/>
          <w:szCs w:val="32"/>
          <w14:textFill>
            <w14:solidFill>
              <w14:schemeClr w14:val="tx1"/>
            </w14:solidFill>
          </w14:textFill>
        </w:rPr>
        <w:t>支出功能分类：</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一般公共服务（类）人大事务（款）一般行政管理事务（项）</w:t>
      </w:r>
      <w:r>
        <w:rPr>
          <w:rFonts w:hint="eastAsia" w:ascii="仿宋_GB2312" w:hAnsi="ˎ̥" w:eastAsia="仿宋_GB2312"/>
          <w:color w:val="000000" w:themeColor="text1"/>
          <w:sz w:val="32"/>
          <w:szCs w:val="32"/>
          <w:lang w:eastAsia="zh-CN"/>
          <w14:textFill>
            <w14:solidFill>
              <w14:schemeClr w14:val="tx1"/>
            </w14:solidFill>
          </w14:textFill>
        </w:rPr>
        <w:t>：为保证本单位的治安管理项目所支出的涉及安全服务费用和日常消防设备支出及维护费用</w:t>
      </w:r>
      <w:r>
        <w:rPr>
          <w:rFonts w:hint="eastAsia" w:ascii="仿宋_GB2312" w:hAnsi="ˎ̥" w:eastAsia="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一般公共服务（类）政府办公厅（室）及相关机构事务（款）行政运行（项）</w:t>
      </w:r>
      <w:r>
        <w:rPr>
          <w:rFonts w:hint="default" w:ascii="仿宋_GB2312" w:hAnsi="ˎ̥" w:eastAsia="仿宋_GB2312"/>
          <w:color w:val="000000" w:themeColor="text1"/>
          <w:sz w:val="32"/>
          <w:szCs w:val="32"/>
          <w:lang w:val="en"/>
          <w14:textFill>
            <w14:solidFill>
              <w14:schemeClr w14:val="tx1"/>
            </w14:solidFill>
          </w14:textFill>
        </w:rPr>
        <w:t>:</w:t>
      </w:r>
      <w:r>
        <w:rPr>
          <w:rFonts w:hint="eastAsia" w:ascii="仿宋_GB2312" w:hAnsi="ˎ̥" w:eastAsia="仿宋_GB2312"/>
          <w:color w:val="000000" w:themeColor="text1"/>
          <w:sz w:val="32"/>
          <w:szCs w:val="32"/>
          <w:lang w:val="en" w:eastAsia="zh-CN"/>
          <w14:textFill>
            <w14:solidFill>
              <w14:schemeClr w14:val="tx1"/>
            </w14:solidFill>
          </w14:textFill>
        </w:rPr>
        <w:t>主要用于支付本单位在编人员工资、社保、公积金、职业年金、公务员医疗补助、其他工资福利支出和公用支出项目中的</w:t>
      </w:r>
      <w:r>
        <w:rPr>
          <w:rFonts w:hint="eastAsia" w:ascii="仿宋_GB2312" w:hAnsi="ˎ̥" w:eastAsia="仿宋_GB2312"/>
          <w:color w:val="000000" w:themeColor="text1"/>
          <w:sz w:val="32"/>
          <w:szCs w:val="32"/>
          <w:lang w:val="en" w:eastAsia="zh-CN"/>
          <w14:textFill>
            <w14:solidFill>
              <w14:schemeClr w14:val="tx1"/>
            </w14:solidFill>
          </w14:textFill>
        </w:rPr>
        <w:tab/>
      </w:r>
      <w:r>
        <w:rPr>
          <w:rFonts w:hint="eastAsia" w:ascii="仿宋_GB2312" w:hAnsi="ˎ̥" w:eastAsia="仿宋_GB2312"/>
          <w:color w:val="000000" w:themeColor="text1"/>
          <w:sz w:val="32"/>
          <w:szCs w:val="32"/>
          <w:lang w:val="en" w:eastAsia="zh-CN"/>
          <w14:textFill>
            <w14:solidFill>
              <w14:schemeClr w14:val="tx1"/>
            </w14:solidFill>
          </w14:textFill>
        </w:rPr>
        <w:t>因公出国（境）费用</w:t>
      </w:r>
      <w:r>
        <w:rPr>
          <w:rFonts w:hint="eastAsia" w:ascii="仿宋_GB2312" w:hAnsi="ˎ̥"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val="en-US" w:eastAsia="zh-CN"/>
          <w14:textFill>
            <w14:solidFill>
              <w14:schemeClr w14:val="tx1"/>
            </w14:solidFill>
          </w14:textFill>
        </w:rPr>
      </w:pPr>
      <w:r>
        <w:rPr>
          <w:rFonts w:hint="default" w:ascii="仿宋_GB2312" w:hAnsi="ˎ̥" w:eastAsia="仿宋_GB2312"/>
          <w:color w:val="000000" w:themeColor="text1"/>
          <w:sz w:val="32"/>
          <w:szCs w:val="32"/>
          <w:lang w:val="en-US" w:eastAsia="zh-CN"/>
          <w14:textFill>
            <w14:solidFill>
              <w14:schemeClr w14:val="tx1"/>
            </w14:solidFill>
          </w14:textFill>
        </w:rPr>
        <w:t>一般公共服务（类）政府办公厅（室）及相关机构事务（款）一般行政管理事务（项）</w:t>
      </w:r>
      <w:r>
        <w:rPr>
          <w:rFonts w:hint="eastAsia" w:ascii="仿宋_GB2312" w:hAnsi="ˎ̥" w:eastAsia="仿宋_GB2312"/>
          <w:color w:val="000000" w:themeColor="text1"/>
          <w:sz w:val="32"/>
          <w:szCs w:val="32"/>
          <w:lang w:val="en-US" w:eastAsia="zh-CN"/>
          <w14:textFill>
            <w14:solidFill>
              <w14:schemeClr w14:val="tx1"/>
            </w14:solidFill>
          </w14:textFill>
        </w:rPr>
        <w:t>：主要用于支付本单位设备（装备）购置与运行维护项目、综合运行事务项目、督查事务项目及后勤保障项目等。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一般公共服务（类）政府办公厅（室）及相关机构事务（款）事业运行（项）</w:t>
      </w:r>
      <w:r>
        <w:rPr>
          <w:rFonts w:hint="eastAsia" w:ascii="仿宋_GB2312" w:hAnsi="ˎ̥" w:eastAsia="仿宋_GB2312"/>
          <w:color w:val="000000" w:themeColor="text1"/>
          <w:sz w:val="32"/>
          <w:szCs w:val="32"/>
          <w:lang w:eastAsia="zh-CN"/>
          <w14:textFill>
            <w14:solidFill>
              <w14:schemeClr w14:val="tx1"/>
            </w14:solidFill>
          </w14:textFill>
        </w:rPr>
        <w:t>：主要用于支付本单位事业人员工资费用。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一般公共服务（类）政府办公厅（室）及相关机构事务（款）其他政府办公厅（室）及相关机构事务支出（项）</w:t>
      </w:r>
      <w:r>
        <w:rPr>
          <w:rFonts w:hint="eastAsia" w:ascii="仿宋_GB2312" w:hAnsi="ˎ̥" w:eastAsia="仿宋_GB2312"/>
          <w:color w:val="000000" w:themeColor="text1"/>
          <w:sz w:val="32"/>
          <w:szCs w:val="32"/>
          <w:lang w:eastAsia="zh-CN"/>
          <w14:textFill>
            <w14:solidFill>
              <w14:schemeClr w14:val="tx1"/>
            </w14:solidFill>
          </w14:textFill>
        </w:rPr>
        <w:t>：主要用于支付本单位新闻宣传项目、节日慰问项目、基建设施工程项目及机要保密与档案管理项目等支出。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一般公共服务（类）发展与改革事务（款）一般行政管理事务（项）</w:t>
      </w:r>
      <w:r>
        <w:rPr>
          <w:rFonts w:hint="eastAsia" w:ascii="仿宋_GB2312" w:hAnsi="ˎ̥" w:eastAsia="仿宋_GB2312"/>
          <w:color w:val="000000" w:themeColor="text1"/>
          <w:sz w:val="32"/>
          <w:szCs w:val="32"/>
          <w:lang w:eastAsia="zh-CN"/>
          <w14:textFill>
            <w14:solidFill>
              <w14:schemeClr w14:val="tx1"/>
            </w14:solidFill>
          </w14:textFill>
        </w:rPr>
        <w:t>：主要用于支付本单位金融发展项目等支出。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一般公共服务（类）纪检监察事务（款）行政运行（项）</w:t>
      </w:r>
      <w:r>
        <w:rPr>
          <w:rFonts w:hint="eastAsia" w:ascii="仿宋_GB2312" w:hAnsi="ˎ̥" w:eastAsia="仿宋_GB2312"/>
          <w:color w:val="000000" w:themeColor="text1"/>
          <w:sz w:val="32"/>
          <w:szCs w:val="32"/>
          <w:lang w:eastAsia="zh-CN"/>
          <w14:textFill>
            <w14:solidFill>
              <w14:schemeClr w14:val="tx1"/>
            </w14:solidFill>
          </w14:textFill>
        </w:rPr>
        <w:t>：主要用于支付本单位“三公”经费支出、残疾人保障金支出、工会经费支出、培训费、会议费及办公费等支出。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一般公共服务（类）信访事务（款）信访业务（项）</w:t>
      </w:r>
      <w:r>
        <w:rPr>
          <w:rFonts w:hint="eastAsia" w:ascii="仿宋_GB2312" w:hAnsi="ˎ̥" w:eastAsia="仿宋_GB2312"/>
          <w:color w:val="000000" w:themeColor="text1"/>
          <w:sz w:val="32"/>
          <w:szCs w:val="32"/>
          <w:lang w:eastAsia="zh-CN"/>
          <w14:textFill>
            <w14:solidFill>
              <w14:schemeClr w14:val="tx1"/>
            </w14:solidFill>
          </w14:textFill>
        </w:rPr>
        <w:t>：主要用于支付本单位信访业务项目支出。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lang w:eastAsia="zh-CN"/>
        </w:rPr>
      </w:pPr>
      <w:r>
        <w:rPr>
          <w:rFonts w:hint="eastAsia" w:ascii="仿宋_GB2312" w:hAnsi="ˎ̥" w:eastAsia="仿宋_GB2312"/>
          <w:color w:val="000000" w:themeColor="text1"/>
          <w:sz w:val="32"/>
          <w:szCs w:val="32"/>
          <w14:textFill>
            <w14:solidFill>
              <w14:schemeClr w14:val="tx1"/>
            </w14:solidFill>
          </w14:textFill>
        </w:rPr>
        <w:t>社会保障和就业支出（类）行政事业单位养老支出（款）机关事业单位基本养老保险缴费支出（项）</w:t>
      </w:r>
      <w:r>
        <w:rPr>
          <w:rFonts w:hint="eastAsia" w:ascii="仿宋_GB2312" w:hAnsi="ˎ̥" w:eastAsia="仿宋_GB2312"/>
          <w:color w:val="000000" w:themeColor="text1"/>
          <w:sz w:val="32"/>
          <w:szCs w:val="32"/>
          <w:lang w:eastAsia="zh-CN"/>
          <w14:textFill>
            <w14:solidFill>
              <w14:schemeClr w14:val="tx1"/>
            </w14:solidFill>
          </w14:textFill>
        </w:rPr>
        <w:t>：主要用于支付本单位在编人员养老保险支出。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社会保障和就业支出（类）行政事业单位养老支出（款）机关事业单位职业年金缴费支出（项）</w:t>
      </w:r>
      <w:r>
        <w:rPr>
          <w:rFonts w:hint="eastAsia" w:ascii="仿宋_GB2312" w:hAnsi="ˎ̥" w:eastAsia="仿宋_GB2312"/>
          <w:color w:val="000000" w:themeColor="text1"/>
          <w:sz w:val="32"/>
          <w:szCs w:val="32"/>
          <w:lang w:eastAsia="zh-CN"/>
          <w14:textFill>
            <w14:solidFill>
              <w14:schemeClr w14:val="tx1"/>
            </w14:solidFill>
          </w14:textFill>
        </w:rPr>
        <w:t>：主要用于支付本单位在编人员职业年金支出。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社会保障和就业支出（类）抚恤（款）其他优抚支出（项）</w:t>
      </w:r>
      <w:r>
        <w:rPr>
          <w:rFonts w:hint="eastAsia" w:ascii="仿宋_GB2312" w:hAnsi="ˎ̥" w:eastAsia="仿宋_GB2312"/>
          <w:color w:val="000000" w:themeColor="text1"/>
          <w:sz w:val="32"/>
          <w:szCs w:val="32"/>
          <w:lang w:eastAsia="zh-CN"/>
          <w14:textFill>
            <w14:solidFill>
              <w14:schemeClr w14:val="tx1"/>
            </w14:solidFill>
          </w14:textFill>
        </w:rPr>
        <w:t>：主要用于支付本单位遗属人员补助。</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000000" w:themeColor="text1"/>
          <w:sz w:val="32"/>
          <w:szCs w:val="32"/>
          <w:lang w:val="en-US"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卫生健康支出（类）公共卫生（款）突发公共卫生事件应急处置（项）</w:t>
      </w:r>
      <w:r>
        <w:rPr>
          <w:rFonts w:hint="eastAsia" w:ascii="仿宋_GB2312" w:hAnsi="ˎ̥" w:eastAsia="仿宋_GB2312"/>
          <w:color w:val="000000" w:themeColor="text1"/>
          <w:sz w:val="32"/>
          <w:szCs w:val="32"/>
          <w:lang w:eastAsia="zh-CN"/>
          <w14:textFill>
            <w14:solidFill>
              <w14:schemeClr w14:val="tx1"/>
            </w14:solidFill>
          </w14:textFill>
        </w:rPr>
        <w:t>：主要用于支付本单位</w:t>
      </w:r>
      <w:r>
        <w:rPr>
          <w:rFonts w:hint="eastAsia" w:ascii="仿宋_GB2312" w:hAnsi="ˎ̥" w:eastAsia="仿宋_GB2312"/>
          <w:color w:val="000000" w:themeColor="text1"/>
          <w:sz w:val="32"/>
          <w:szCs w:val="32"/>
          <w:lang w:val="en-US" w:eastAsia="zh-CN"/>
          <w14:textFill>
            <w14:solidFill>
              <w14:schemeClr w14:val="tx1"/>
            </w14:solidFill>
          </w14:textFill>
        </w:rPr>
        <w:t>2022年疫情防控经费。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卫生健康支出（类）行政事业单位医疗（款）行政单位医疗（项）</w:t>
      </w:r>
      <w:r>
        <w:rPr>
          <w:rFonts w:hint="eastAsia" w:ascii="仿宋_GB2312" w:hAnsi="ˎ̥" w:eastAsia="仿宋_GB2312"/>
          <w:color w:val="000000" w:themeColor="text1"/>
          <w:sz w:val="32"/>
          <w:szCs w:val="32"/>
          <w:lang w:eastAsia="zh-CN"/>
          <w14:textFill>
            <w14:solidFill>
              <w14:schemeClr w14:val="tx1"/>
            </w14:solidFill>
          </w14:textFill>
        </w:rPr>
        <w:t>：主要用于支付本单位在编人员医疗保险支出。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卫生健康支出（类）行政事业单位医疗（款）公务员医疗补助（项）</w:t>
      </w:r>
      <w:r>
        <w:rPr>
          <w:rFonts w:hint="eastAsia" w:ascii="仿宋_GB2312" w:hAnsi="ˎ̥" w:eastAsia="仿宋_GB2312"/>
          <w:color w:val="000000" w:themeColor="text1"/>
          <w:sz w:val="32"/>
          <w:szCs w:val="32"/>
          <w:lang w:eastAsia="zh-CN"/>
          <w14:textFill>
            <w14:solidFill>
              <w14:schemeClr w14:val="tx1"/>
            </w14:solidFill>
          </w14:textFill>
        </w:rPr>
        <w:t>：主要用于支付本单位在编人员和退休人员公务员医疗补助支出。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节能环保支出（类）环境保护管理事务（款）行政运行（项）</w:t>
      </w:r>
      <w:r>
        <w:rPr>
          <w:rFonts w:hint="eastAsia" w:ascii="仿宋_GB2312" w:hAnsi="ˎ̥" w:eastAsia="仿宋_GB2312"/>
          <w:color w:val="000000" w:themeColor="text1"/>
          <w:sz w:val="32"/>
          <w:szCs w:val="32"/>
          <w:lang w:eastAsia="zh-CN"/>
          <w14:textFill>
            <w14:solidFill>
              <w14:schemeClr w14:val="tx1"/>
            </w14:solidFill>
          </w14:textFill>
        </w:rPr>
        <w:t>：主要用于支付本单位2024年由天涯区五人团组出访日本、香港开展考察招商活动项目费用。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节能环保支出（类）其他节能环保支出（款）其他节能环保支出（项）</w:t>
      </w:r>
      <w:r>
        <w:rPr>
          <w:rFonts w:hint="eastAsia" w:ascii="仿宋_GB2312" w:hAnsi="ˎ̥" w:eastAsia="仿宋_GB2312"/>
          <w:color w:val="000000" w:themeColor="text1"/>
          <w:sz w:val="32"/>
          <w:szCs w:val="32"/>
          <w:lang w:eastAsia="zh-CN"/>
          <w14:textFill>
            <w14:solidFill>
              <w14:schemeClr w14:val="tx1"/>
            </w14:solidFill>
          </w14:textFill>
        </w:rPr>
        <w:t>：主要用于支付挂靠单位三亚市生态环境局天涯分局工作经费。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14:textFill>
            <w14:solidFill>
              <w14:schemeClr w14:val="tx1"/>
            </w14:solidFill>
          </w14:textFill>
        </w:rPr>
        <w:t>自然资源海洋气象等支出（类）自然资源事务（款）一般行政管理事务（项）</w:t>
      </w:r>
      <w:r>
        <w:rPr>
          <w:rFonts w:hint="eastAsia" w:ascii="仿宋_GB2312" w:hAnsi="ˎ̥" w:eastAsia="仿宋_GB2312"/>
          <w:color w:val="000000" w:themeColor="text1"/>
          <w:sz w:val="32"/>
          <w:szCs w:val="32"/>
          <w:lang w:eastAsia="zh-CN"/>
          <w14:textFill>
            <w14:solidFill>
              <w14:schemeClr w14:val="tx1"/>
            </w14:solidFill>
          </w14:textFill>
        </w:rPr>
        <w:t>：主要用于支付挂靠单位三亚市自然资源和规划局天涯分局工作经费。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000000" w:themeColor="text1"/>
          <w:sz w:val="32"/>
          <w:szCs w:val="32"/>
          <w:lang w:eastAsia="zh-CN"/>
          <w14:textFill>
            <w14:solidFill>
              <w14:schemeClr w14:val="tx1"/>
            </w14:solidFill>
          </w14:textFill>
        </w:rPr>
      </w:pPr>
      <w:r>
        <w:rPr>
          <w:rFonts w:hint="eastAsia" w:ascii="仿宋_GB2312" w:hAnsi="ˎ̥" w:eastAsia="仿宋_GB2312"/>
          <w:color w:val="000000" w:themeColor="text1"/>
          <w:sz w:val="32"/>
          <w:szCs w:val="32"/>
          <w:lang w:eastAsia="zh-CN"/>
          <w14:textFill>
            <w14:solidFill>
              <w14:schemeClr w14:val="tx1"/>
            </w14:solidFill>
          </w14:textFill>
        </w:rPr>
        <w:t>住房保障支出（类）住房改革支出（款）住房公积金（项）：主要用于支付本单位在编人员住房公积金费用。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color w:val="000000" w:themeColor="text1"/>
          <w14:textFill>
            <w14:solidFill>
              <w14:schemeClr w14:val="tx1"/>
            </w14:solidFill>
          </w14:textFill>
        </w:rPr>
      </w:pPr>
      <w:bookmarkStart w:id="120" w:name="_GoBack"/>
      <w:bookmarkEnd w:id="120"/>
    </w:p>
    <w:sectPr>
      <w:footerReference r:id="rId4"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18</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D53F17D5"/>
    <w:multiLevelType w:val="singleLevel"/>
    <w:tmpl w:val="D53F17D5"/>
    <w:lvl w:ilvl="0" w:tentative="0">
      <w:start w:val="1"/>
      <w:numFmt w:val="chineseCounting"/>
      <w:suff w:val="nothing"/>
      <w:lvlText w:val="（%1）"/>
      <w:lvlJc w:val="left"/>
      <w:rPr>
        <w:rFonts w:hint="eastAsia"/>
      </w:rPr>
    </w:lvl>
  </w:abstractNum>
  <w:abstractNum w:abstractNumId="2">
    <w:nsid w:val="FBBFC4BC"/>
    <w:multiLevelType w:val="singleLevel"/>
    <w:tmpl w:val="FBBFC4BC"/>
    <w:lvl w:ilvl="0" w:tentative="0">
      <w:start w:val="1"/>
      <w:numFmt w:val="chineseCounting"/>
      <w:suff w:val="nothing"/>
      <w:lvlText w:val="%1、"/>
      <w:lvlJc w:val="left"/>
      <w:rPr>
        <w:rFonts w:hint="eastAsia"/>
      </w:rPr>
    </w:lvl>
  </w:abstractNum>
  <w:abstractNum w:abstractNumId="3">
    <w:nsid w:val="72109F8D"/>
    <w:multiLevelType w:val="singleLevel"/>
    <w:tmpl w:val="72109F8D"/>
    <w:lvl w:ilvl="0" w:tentative="0">
      <w:start w:val="7"/>
      <w:numFmt w:val="chineseCounting"/>
      <w:suff w:val="nothing"/>
      <w:lvlText w:val="%1、"/>
      <w:lvlJc w:val="left"/>
      <w:rPr>
        <w:rFonts w:hint="eastAsia"/>
      </w:rPr>
    </w:lvl>
  </w:abstractNum>
  <w:abstractNum w:abstractNumId="4">
    <w:nsid w:val="79DE715E"/>
    <w:multiLevelType w:val="singleLevel"/>
    <w:tmpl w:val="79DE715E"/>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9201287"/>
    <w:rsid w:val="0FC80124"/>
    <w:rsid w:val="136F98C7"/>
    <w:rsid w:val="17427E68"/>
    <w:rsid w:val="1755065F"/>
    <w:rsid w:val="1AFC29C9"/>
    <w:rsid w:val="1CA52F2E"/>
    <w:rsid w:val="1E3630B9"/>
    <w:rsid w:val="1FFD4BB8"/>
    <w:rsid w:val="26EEC2B5"/>
    <w:rsid w:val="29472309"/>
    <w:rsid w:val="2B406E77"/>
    <w:rsid w:val="2C2A0C43"/>
    <w:rsid w:val="2C9D2A82"/>
    <w:rsid w:val="2D1E73A5"/>
    <w:rsid w:val="32717154"/>
    <w:rsid w:val="34B63260"/>
    <w:rsid w:val="37FDA7E2"/>
    <w:rsid w:val="3A314D88"/>
    <w:rsid w:val="3A746883"/>
    <w:rsid w:val="3CA15DE9"/>
    <w:rsid w:val="3EA3348A"/>
    <w:rsid w:val="3F8F45A3"/>
    <w:rsid w:val="3FE61EE5"/>
    <w:rsid w:val="406508EE"/>
    <w:rsid w:val="408D6263"/>
    <w:rsid w:val="41B40CEE"/>
    <w:rsid w:val="4575190E"/>
    <w:rsid w:val="48317291"/>
    <w:rsid w:val="485F7024"/>
    <w:rsid w:val="48E70666"/>
    <w:rsid w:val="4C6877E5"/>
    <w:rsid w:val="4D6A468D"/>
    <w:rsid w:val="4D9E219C"/>
    <w:rsid w:val="4EA86137"/>
    <w:rsid w:val="56CA7FD0"/>
    <w:rsid w:val="57FA38D1"/>
    <w:rsid w:val="5BEF6E0B"/>
    <w:rsid w:val="5F7D3333"/>
    <w:rsid w:val="61385890"/>
    <w:rsid w:val="639BE4BA"/>
    <w:rsid w:val="687436E1"/>
    <w:rsid w:val="6DA45C50"/>
    <w:rsid w:val="6E9A7825"/>
    <w:rsid w:val="6F670F9B"/>
    <w:rsid w:val="72D75043"/>
    <w:rsid w:val="737450E0"/>
    <w:rsid w:val="74054476"/>
    <w:rsid w:val="742F38C4"/>
    <w:rsid w:val="74AB66DC"/>
    <w:rsid w:val="74C4154C"/>
    <w:rsid w:val="75956FFF"/>
    <w:rsid w:val="77AA2D01"/>
    <w:rsid w:val="79FFE930"/>
    <w:rsid w:val="7CDE1DBD"/>
    <w:rsid w:val="7D943A85"/>
    <w:rsid w:val="7DB0448C"/>
    <w:rsid w:val="7E5F9AA4"/>
    <w:rsid w:val="7F7291DC"/>
    <w:rsid w:val="7FBD3E7F"/>
    <w:rsid w:val="8FEF9372"/>
    <w:rsid w:val="8FFC8888"/>
    <w:rsid w:val="9EECB883"/>
    <w:rsid w:val="A7F73C99"/>
    <w:rsid w:val="BFFE3BF4"/>
    <w:rsid w:val="C57F3927"/>
    <w:rsid w:val="D1EFD556"/>
    <w:rsid w:val="DF781D1C"/>
    <w:rsid w:val="DFEBDA37"/>
    <w:rsid w:val="EF6FCA1D"/>
    <w:rsid w:val="EFFF57D6"/>
    <w:rsid w:val="F23E1DA3"/>
    <w:rsid w:val="F7EBA065"/>
    <w:rsid w:val="FA788375"/>
    <w:rsid w:val="FB1ECB01"/>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rPr>
  </w:style>
  <w:style w:type="paragraph" w:styleId="4">
    <w:name w:val="annotation text"/>
    <w:basedOn w:val="1"/>
    <w:link w:val="13"/>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6"/>
    <w:qFormat/>
    <w:uiPriority w:val="0"/>
    <w:rPr>
      <w:b/>
      <w:bCs/>
    </w:rPr>
  </w:style>
  <w:style w:type="character" w:styleId="11">
    <w:name w:val="page number"/>
    <w:qFormat/>
    <w:uiPriority w:val="0"/>
  </w:style>
  <w:style w:type="character" w:styleId="12">
    <w:name w:val="annotation reference"/>
    <w:qFormat/>
    <w:uiPriority w:val="0"/>
    <w:rPr>
      <w:sz w:val="21"/>
      <w:szCs w:val="21"/>
    </w:rPr>
  </w:style>
  <w:style w:type="character" w:customStyle="1" w:styleId="13">
    <w:name w:val="批注文字 Char"/>
    <w:link w:val="4"/>
    <w:qFormat/>
    <w:uiPriority w:val="0"/>
    <w:rPr>
      <w:kern w:val="2"/>
      <w:sz w:val="21"/>
      <w:szCs w:val="24"/>
    </w:rPr>
  </w:style>
  <w:style w:type="character" w:customStyle="1" w:styleId="14">
    <w:name w:val="批注框文本 Char"/>
    <w:link w:val="5"/>
    <w:qFormat/>
    <w:uiPriority w:val="0"/>
    <w:rPr>
      <w:kern w:val="2"/>
      <w:sz w:val="18"/>
      <w:szCs w:val="18"/>
    </w:rPr>
  </w:style>
  <w:style w:type="character" w:customStyle="1" w:styleId="15">
    <w:name w:val="页眉 Char"/>
    <w:link w:val="7"/>
    <w:qFormat/>
    <w:uiPriority w:val="0"/>
    <w:rPr>
      <w:kern w:val="2"/>
      <w:sz w:val="18"/>
      <w:szCs w:val="18"/>
    </w:rPr>
  </w:style>
  <w:style w:type="character" w:customStyle="1" w:styleId="16">
    <w:name w:val="批注主题 Char"/>
    <w:link w:val="8"/>
    <w:qFormat/>
    <w:uiPriority w:val="0"/>
    <w:rPr>
      <w:b/>
      <w:bCs/>
      <w:kern w:val="2"/>
      <w:sz w:val="21"/>
      <w:szCs w:val="24"/>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Chars="200"/>
    </w:pPr>
    <w:rPr>
      <w:rFonts w:ascii="Times New Roman" w:hAnsi="Times New Roman" w:eastAsia="宋体" w:cs="Times New Roman"/>
      <w:lang w:val="en-US" w:eastAsia="zh-CN" w:bidi="ar-SA"/>
    </w:rPr>
  </w:style>
  <w:style w:type="paragraph" w:customStyle="1" w:styleId="19">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10</TotalTime>
  <ScaleCrop>false</ScaleCrop>
  <LinksUpToDate>false</LinksUpToDate>
  <CharactersWithSpaces>2528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2024-07-26T19:26:00Z</dcterms:created>
  <dc:creator>uos</dc:creator>
  <cp:lastModifiedBy>Administrator</cp:lastModifiedBy>
  <cp:lastPrinted>2023-08-05T16:58:00Z</cp:lastPrinted>
  <dcterms:modified xsi:type="dcterms:W3CDTF">2025-10-07T09:53:48Z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