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三亚市天涯区商务局</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rPr>
      </w:pPr>
      <w:r>
        <w:rPr>
          <w:rFonts w:hint="default" w:ascii="Times New Roman" w:hAnsi="Times New Roman" w:eastAsia="方正小标宋简体" w:cs="Times New Roman"/>
          <w:sz w:val="44"/>
          <w:szCs w:val="44"/>
          <w:highlight w:val="none"/>
        </w:rPr>
        <w:t>2024</w:t>
      </w:r>
      <w:r>
        <w:rPr>
          <w:rFonts w:hint="eastAsia" w:ascii="方正小标宋简体" w:hAnsi="方正小标宋简体" w:eastAsia="方正小标宋简体" w:cs="方正小标宋简体"/>
          <w:sz w:val="44"/>
          <w:szCs w:val="44"/>
          <w:highlight w:val="none"/>
        </w:rPr>
        <w:t>年度部门决算公开报告</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ˎ̥" w:eastAsia="黑体"/>
          <w:b/>
          <w:sz w:val="32"/>
          <w:szCs w:val="32"/>
          <w:highlight w:val="none"/>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44"/>
          <w:szCs w:val="44"/>
          <w:highlight w:val="none"/>
        </w:rPr>
      </w:pPr>
      <w:bookmarkStart w:id="0" w:name="_Toc11440_WPSOffice_Type2"/>
      <w:r>
        <w:rPr>
          <w:rFonts w:hint="eastAsia" w:ascii="黑体" w:hAnsi="黑体" w:eastAsia="黑体" w:cs="黑体"/>
          <w:sz w:val="44"/>
          <w:szCs w:val="44"/>
          <w:highlight w:val="none"/>
        </w:rPr>
        <w:t>目  录</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sz w:val="32"/>
          <w:szCs w:val="32"/>
          <w:highlight w:val="none"/>
        </w:rPr>
      </w:pPr>
      <w:r>
        <w:rPr>
          <w:sz w:val="32"/>
          <w:szCs w:val="32"/>
          <w:highlight w:val="none"/>
        </w:rPr>
        <w:fldChar w:fldCharType="begin"/>
      </w:r>
      <w:r>
        <w:rPr>
          <w:sz w:val="32"/>
          <w:szCs w:val="32"/>
          <w:highlight w:val="none"/>
        </w:rPr>
        <w:instrText xml:space="preserve"> HYPERLINK \l _Toc1704_WPSOffice_Level1 </w:instrText>
      </w:r>
      <w:r>
        <w:rPr>
          <w:sz w:val="32"/>
          <w:szCs w:val="32"/>
          <w:highlight w:val="none"/>
        </w:rPr>
        <w:fldChar w:fldCharType="separate"/>
      </w:r>
      <w:r>
        <w:rPr>
          <w:rFonts w:hint="eastAsia" w:ascii="黑体" w:hAnsi="ˎ̥" w:eastAsia="黑体"/>
          <w:sz w:val="32"/>
          <w:szCs w:val="32"/>
          <w:highlight w:val="none"/>
        </w:rPr>
        <w:t>第一部分 基本情况</w:t>
      </w:r>
      <w:r>
        <w:rPr>
          <w:sz w:val="32"/>
          <w:szCs w:val="32"/>
          <w:highlight w:val="none"/>
        </w:rPr>
        <w:tab/>
      </w:r>
      <w:r>
        <w:rPr>
          <w:sz w:val="32"/>
          <w:szCs w:val="32"/>
          <w:highlight w:val="none"/>
        </w:rPr>
        <w:fldChar w:fldCharType="end"/>
      </w:r>
      <w:r>
        <w:rPr>
          <w:rFonts w:hint="eastAsia"/>
          <w:sz w:val="32"/>
          <w:szCs w:val="32"/>
          <w:highlight w:val="none"/>
        </w:rPr>
        <w:t>2</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_Toc20274_WPSOffice_Level2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一、部门职责</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_Toc4833_WPSOffice_Level2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二、机构设置</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eastAsia="宋体"/>
          <w:sz w:val="32"/>
          <w:szCs w:val="32"/>
          <w:highlight w:val="none"/>
          <w:lang w:val="en-US" w:eastAsia="zh-CN"/>
        </w:rPr>
      </w:pPr>
      <w:r>
        <w:rPr>
          <w:sz w:val="32"/>
          <w:szCs w:val="32"/>
          <w:highlight w:val="none"/>
        </w:rPr>
        <w:fldChar w:fldCharType="begin"/>
      </w:r>
      <w:r>
        <w:rPr>
          <w:sz w:val="32"/>
          <w:szCs w:val="32"/>
          <w:highlight w:val="none"/>
        </w:rPr>
        <w:instrText xml:space="preserve"> HYPERLINK \l _Toc28253_WPSOffice_Level1 </w:instrText>
      </w:r>
      <w:r>
        <w:rPr>
          <w:sz w:val="32"/>
          <w:szCs w:val="32"/>
          <w:highlight w:val="none"/>
        </w:rPr>
        <w:fldChar w:fldCharType="separate"/>
      </w:r>
      <w:r>
        <w:rPr>
          <w:rFonts w:hint="eastAsia" w:ascii="黑体" w:hAnsi="ˎ̥" w:eastAsia="黑体"/>
          <w:sz w:val="32"/>
          <w:szCs w:val="32"/>
          <w:highlight w:val="none"/>
        </w:rPr>
        <w:t>第二部分  202</w:t>
      </w:r>
      <w:r>
        <w:rPr>
          <w:rFonts w:ascii="黑体" w:hAnsi="ˎ̥" w:eastAsia="黑体"/>
          <w:sz w:val="32"/>
          <w:szCs w:val="32"/>
          <w:highlight w:val="none"/>
        </w:rPr>
        <w:t>4</w:t>
      </w:r>
      <w:r>
        <w:rPr>
          <w:rFonts w:hint="eastAsia" w:ascii="黑体" w:hAnsi="ˎ̥" w:eastAsia="黑体"/>
          <w:sz w:val="32"/>
          <w:szCs w:val="32"/>
          <w:highlight w:val="none"/>
        </w:rPr>
        <w:t>年度部门决算公开表</w:t>
      </w:r>
      <w:r>
        <w:rPr>
          <w:sz w:val="32"/>
          <w:szCs w:val="32"/>
          <w:highlight w:val="none"/>
        </w:rPr>
        <w:tab/>
      </w:r>
      <w:r>
        <w:rPr>
          <w:sz w:val="32"/>
          <w:szCs w:val="32"/>
          <w:highlight w:val="none"/>
        </w:rPr>
        <w:fldChar w:fldCharType="end"/>
      </w:r>
      <w:r>
        <w:rPr>
          <w:rFonts w:hint="eastAsia"/>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eastAsia="宋体"/>
          <w:sz w:val="32"/>
          <w:szCs w:val="32"/>
          <w:highlight w:val="none"/>
          <w:lang w:val="en-US" w:eastAsia="zh-CN"/>
        </w:rPr>
      </w:pPr>
      <w:r>
        <w:rPr>
          <w:sz w:val="32"/>
          <w:szCs w:val="32"/>
          <w:highlight w:val="none"/>
        </w:rPr>
        <w:fldChar w:fldCharType="begin"/>
      </w:r>
      <w:r>
        <w:rPr>
          <w:sz w:val="32"/>
          <w:szCs w:val="32"/>
          <w:highlight w:val="none"/>
        </w:rPr>
        <w:instrText xml:space="preserve"> HYPERLINK \l _Toc27590_WPSOffice_Level1 </w:instrText>
      </w:r>
      <w:r>
        <w:rPr>
          <w:sz w:val="32"/>
          <w:szCs w:val="32"/>
          <w:highlight w:val="none"/>
        </w:rPr>
        <w:fldChar w:fldCharType="separate"/>
      </w:r>
      <w:r>
        <w:rPr>
          <w:rFonts w:hint="eastAsia" w:ascii="黑体" w:hAnsi="黑体" w:eastAsia="黑体" w:cs="黑体"/>
          <w:sz w:val="32"/>
          <w:szCs w:val="32"/>
          <w:highlight w:val="none"/>
        </w:rPr>
        <w:t>第三部分</w:t>
      </w:r>
      <w:r>
        <w:rPr>
          <w:rFonts w:hint="eastAsia"/>
          <w:sz w:val="32"/>
          <w:szCs w:val="32"/>
          <w:highlight w:val="none"/>
        </w:rPr>
        <w:t xml:space="preserve">  </w:t>
      </w:r>
      <w:r>
        <w:rPr>
          <w:rFonts w:hint="eastAsia" w:ascii="黑体" w:hAnsi="ˎ̥" w:eastAsia="黑体"/>
          <w:sz w:val="32"/>
          <w:szCs w:val="32"/>
          <w:highlight w:val="none"/>
        </w:rPr>
        <w:t>202</w:t>
      </w:r>
      <w:r>
        <w:rPr>
          <w:rFonts w:ascii="黑体" w:hAnsi="ˎ̥" w:eastAsia="黑体"/>
          <w:sz w:val="32"/>
          <w:szCs w:val="32"/>
          <w:highlight w:val="none"/>
        </w:rPr>
        <w:t>4</w:t>
      </w:r>
      <w:r>
        <w:rPr>
          <w:rFonts w:hint="eastAsia" w:ascii="黑体" w:hAnsi="ˎ̥" w:eastAsia="黑体"/>
          <w:sz w:val="32"/>
          <w:szCs w:val="32"/>
          <w:highlight w:val="none"/>
        </w:rPr>
        <w:t>年度部门决算情况说明</w:t>
      </w:r>
      <w:r>
        <w:rPr>
          <w:sz w:val="32"/>
          <w:szCs w:val="32"/>
          <w:highlight w:val="none"/>
        </w:rPr>
        <w:tab/>
      </w:r>
      <w:r>
        <w:rPr>
          <w:sz w:val="32"/>
          <w:szCs w:val="32"/>
          <w:highlight w:val="none"/>
        </w:rPr>
        <w:fldChar w:fldCharType="end"/>
      </w:r>
      <w:r>
        <w:rPr>
          <w:rFonts w:hint="eastAsia"/>
          <w:sz w:val="32"/>
          <w:szCs w:val="32"/>
          <w:highlight w:val="none"/>
          <w:lang w:val="en-US" w:eastAsia="zh-CN"/>
        </w:rPr>
        <w:t>5</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_Toc21737_WPSOffice_Level2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一、收入支出总体情况说明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5</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二、收入决算情况说明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三、支出决算情况说明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四、财政拨款收入支出决算</w:t>
      </w:r>
      <w:r>
        <w:rPr>
          <w:rFonts w:hint="eastAsia" w:ascii="仿宋" w:hAnsi="仿宋" w:eastAsia="仿宋" w:cs="仿宋"/>
          <w:bCs/>
          <w:color w:val="000000"/>
          <w:sz w:val="32"/>
          <w:szCs w:val="32"/>
          <w:highlight w:val="none"/>
          <w:lang w:eastAsia="zh-CN"/>
        </w:rPr>
        <w:t>总体</w:t>
      </w:r>
      <w:r>
        <w:rPr>
          <w:rFonts w:hint="eastAsia" w:ascii="仿宋" w:hAnsi="仿宋" w:eastAsia="仿宋" w:cs="仿宋"/>
          <w:bCs/>
          <w:sz w:val="32"/>
          <w:szCs w:val="32"/>
          <w:highlight w:val="none"/>
        </w:rPr>
        <w:t>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五、一般公共预算财政拨款支出决算情况说明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7</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六、一般公共预算财政拨款基本支出决算情况说明</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政府性基金预算财政拨款支出决算情况说明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国有资本经营预算财政拨款支出决算情况说明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九、财政拨款“三公”经费支出决算情况说明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11</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十、预算绩效情况说明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3</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bCs/>
          <w:sz w:val="32"/>
          <w:szCs w:val="32"/>
          <w:highlight w:val="none"/>
        </w:rPr>
        <w:t>十一、其他重要事项情况说明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黑体" w:hAnsi="ˎ̥" w:eastAsia="黑体"/>
          <w:sz w:val="32"/>
          <w:szCs w:val="32"/>
          <w:highlight w:val="none"/>
        </w:rPr>
      </w:pPr>
      <w:r>
        <w:rPr>
          <w:sz w:val="32"/>
          <w:szCs w:val="32"/>
          <w:highlight w:val="none"/>
        </w:rPr>
        <w:fldChar w:fldCharType="begin"/>
      </w:r>
      <w:r>
        <w:rPr>
          <w:sz w:val="32"/>
          <w:szCs w:val="32"/>
          <w:highlight w:val="none"/>
        </w:rPr>
        <w:instrText xml:space="preserve"> HYPERLINK \l _Toc15425_WPSOffice_Level1 </w:instrText>
      </w:r>
      <w:r>
        <w:rPr>
          <w:sz w:val="32"/>
          <w:szCs w:val="32"/>
          <w:highlight w:val="none"/>
        </w:rPr>
        <w:fldChar w:fldCharType="separate"/>
      </w:r>
      <w:r>
        <w:rPr>
          <w:rFonts w:hint="eastAsia" w:ascii="黑体" w:hAnsi="ˎ̥" w:eastAsia="黑体"/>
          <w:sz w:val="32"/>
          <w:szCs w:val="32"/>
          <w:highlight w:val="none"/>
        </w:rPr>
        <w:t>第四部分  名词解释</w:t>
      </w:r>
      <w:r>
        <w:rPr>
          <w:sz w:val="32"/>
          <w:szCs w:val="32"/>
          <w:highlight w:val="none"/>
        </w:rPr>
        <w:tab/>
      </w:r>
      <w:bookmarkStart w:id="1" w:name="_Toc15425_WPSOffice_Level1Page"/>
      <w:r>
        <w:rPr>
          <w:sz w:val="32"/>
          <w:szCs w:val="32"/>
          <w:highlight w:val="none"/>
        </w:rPr>
        <w:t>1</w:t>
      </w:r>
      <w:bookmarkEnd w:id="1"/>
      <w:r>
        <w:rPr>
          <w:sz w:val="32"/>
          <w:szCs w:val="32"/>
          <w:highlight w:val="none"/>
        </w:rPr>
        <w:fldChar w:fldCharType="end"/>
      </w:r>
      <w:bookmarkEnd w:id="0"/>
      <w:r>
        <w:rPr>
          <w:rFonts w:hint="eastAsia"/>
          <w:sz w:val="32"/>
          <w:szCs w:val="32"/>
          <w:highlight w:val="none"/>
        </w:rPr>
        <w:t>5</w:t>
      </w:r>
      <w:bookmarkStart w:id="2" w:name="_Toc10049_WPSOffice_Level1"/>
      <w:bookmarkStart w:id="3" w:name="_Toc22941_WPSOffice_Level1"/>
      <w:bookmarkStart w:id="4" w:name="_Toc32433_WPSOffice_Level1"/>
      <w:bookmarkStart w:id="5" w:name="_Toc23465_WPSOffice_Level1"/>
      <w:bookmarkStart w:id="6" w:name="_Toc10720_WPSOffice_Level1"/>
      <w:bookmarkStart w:id="7" w:name="_Toc1704_WPSOffice_Level1"/>
      <w:bookmarkStart w:id="8" w:name="_Toc24238_WPSOffice_Level2"/>
      <w:bookmarkStart w:id="9" w:name="_Toc14159_WPSOffice_Level2"/>
      <w:bookmarkStart w:id="10" w:name="_Toc26580_WPSOffice_Level2"/>
      <w:bookmarkStart w:id="11" w:name="_Toc20274_WPSOffice_Level2"/>
      <w:bookmarkStart w:id="12" w:name="_Toc20205_WPSOffice_Level2"/>
      <w:bookmarkStart w:id="13" w:name="_Toc32622_WPSOffice_Level2"/>
      <w:r>
        <w:rPr>
          <w:rFonts w:hint="eastAsia" w:ascii="黑体" w:hAnsi="ˎ̥" w:eastAsia="黑体"/>
          <w:sz w:val="32"/>
          <w:szCs w:val="32"/>
          <w:highlight w:val="none"/>
        </w:rPr>
        <w:br w:type="page"/>
      </w: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r>
        <w:rPr>
          <w:rFonts w:hint="eastAsia" w:ascii="黑体" w:hAnsi="ˎ̥" w:eastAsia="黑体"/>
          <w:sz w:val="32"/>
          <w:szCs w:val="32"/>
          <w:highlight w:val="none"/>
        </w:rPr>
        <w:t xml:space="preserve">第一部分  </w:t>
      </w:r>
      <w:bookmarkEnd w:id="2"/>
      <w:bookmarkEnd w:id="3"/>
      <w:bookmarkEnd w:id="4"/>
      <w:bookmarkEnd w:id="5"/>
      <w:bookmarkEnd w:id="6"/>
      <w:bookmarkEnd w:id="7"/>
      <w:r>
        <w:rPr>
          <w:rFonts w:hint="eastAsia" w:ascii="黑体" w:hAnsi="ˎ̥" w:eastAsia="黑体"/>
          <w:sz w:val="32"/>
          <w:szCs w:val="32"/>
          <w:highlight w:val="none"/>
        </w:rPr>
        <w:t>基本情况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部门</w:t>
      </w:r>
      <w:bookmarkEnd w:id="8"/>
      <w:r>
        <w:rPr>
          <w:rFonts w:hint="eastAsia" w:ascii="黑体" w:hAnsi="黑体" w:eastAsia="黑体" w:cs="黑体"/>
          <w:sz w:val="32"/>
          <w:szCs w:val="32"/>
          <w:highlight w:val="none"/>
        </w:rPr>
        <w:t>职责</w:t>
      </w:r>
      <w:bookmarkEnd w:id="9"/>
      <w:bookmarkEnd w:id="10"/>
      <w:bookmarkEnd w:id="11"/>
      <w:bookmarkEnd w:id="12"/>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kern w:val="2"/>
          <w:sz w:val="32"/>
          <w:szCs w:val="32"/>
          <w:lang w:val="en-US" w:eastAsia="zh-CN" w:bidi="ar-SA"/>
        </w:rPr>
        <w:t>我部门的职能是根据《</w:t>
      </w:r>
      <w:r>
        <w:rPr>
          <w:rFonts w:hint="default" w:ascii="Times New Roman" w:hAnsi="Times New Roman" w:eastAsia="仿宋_GB2312" w:cs="Times New Roman"/>
          <w:color w:val="auto"/>
          <w:kern w:val="0"/>
          <w:sz w:val="32"/>
          <w:szCs w:val="30"/>
          <w:lang w:eastAsia="zh-CN"/>
        </w:rPr>
        <w:t>中共三亚市天涯区委办公室三亚市天涯区人民政府办公室关于印发三亚市天涯区商务局职能配置、内设机构和人员编制规定》</w:t>
      </w:r>
      <w:r>
        <w:rPr>
          <w:rFonts w:hint="default" w:ascii="Times New Roman" w:hAnsi="Times New Roman" w:eastAsia="仿宋_GB2312" w:cs="Times New Roman"/>
          <w:kern w:val="2"/>
          <w:sz w:val="32"/>
          <w:szCs w:val="32"/>
          <w:lang w:val="en-US" w:eastAsia="zh-CN" w:bidi="ar-SA"/>
        </w:rPr>
        <w:t>（天委办〔2024〕29 号）的通知明确的，</w:t>
      </w:r>
      <w:r>
        <w:rPr>
          <w:rFonts w:hint="default" w:ascii="Times New Roman" w:hAnsi="Times New Roman" w:eastAsia="仿宋_GB2312" w:cs="Times New Roman"/>
          <w:color w:val="auto"/>
          <w:kern w:val="0"/>
          <w:sz w:val="32"/>
          <w:szCs w:val="30"/>
          <w:lang w:eastAsia="zh-CN"/>
        </w:rPr>
        <w:t>隶属天涯区人民政府的正科级行政部门，机构职责如下：</w:t>
      </w:r>
      <w:r>
        <w:rPr>
          <w:rFonts w:hint="default" w:ascii="Times New Roman" w:hAnsi="Times New Roman" w:eastAsia="仿宋_GB2312" w:cs="Times New Roman"/>
          <w:color w:val="auto"/>
          <w:kern w:val="0"/>
          <w:sz w:val="32"/>
          <w:szCs w:val="30"/>
          <w:lang w:eastAsia="zh-CN"/>
        </w:rPr>
        <w:br w:type="textWrapping"/>
      </w:r>
      <w:r>
        <w:rPr>
          <w:rFonts w:hint="default" w:ascii="Times New Roman" w:hAnsi="Times New Roman" w:eastAsia="仿宋_GB2312" w:cs="Times New Roman"/>
          <w:color w:val="auto"/>
          <w:kern w:val="0"/>
          <w:sz w:val="32"/>
          <w:szCs w:val="30"/>
          <w:lang w:val="en-US" w:eastAsia="zh-CN"/>
        </w:rPr>
        <w:t xml:space="preserve">   </w:t>
      </w:r>
      <w:r>
        <w:rPr>
          <w:rFonts w:hint="default" w:ascii="Times New Roman" w:hAnsi="Times New Roman" w:eastAsia="仿宋_GB2312" w:cs="Times New Roman"/>
          <w:color w:val="auto"/>
          <w:kern w:val="0"/>
          <w:sz w:val="32"/>
          <w:szCs w:val="30"/>
          <w:lang w:eastAsia="zh-CN"/>
        </w:rPr>
        <w:t>（一）研究拟订并组织实施全区商务工作的规划和措施，会同相关部门推动现代商务体系建设，引导相关机构进入进驻，研究提出支持海南自由贸易港建设有关商务的政策建议。</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10" w:leftChars="0" w:firstLine="640" w:firstLineChars="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负责推动全区流通产业结构调整，指导贸易服务业和社区商业发展，推动流通标准化和连锁经营、商业特许经营、物流配送、电子商务等现代流通方式的发展。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（三）负责组织实施全区重要消费品市场调控和重要生产资料流通管理，做好全区消费促进工作，监测分析市场运行和商品供求状况，按有关规定对成品油流通进行监督管理。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（四）指导全区大宗产品批发市场规划和商业网点规划、商业体系建设工作，推进农村市场流通体系建设，组织实施农村现代流通网络工程。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（五）负责美容美发业、洗染业、家庭服务业的日常监管工作，负责再生资源回收站、3000 平方米以下商超、农贸市场的日常监管工作，指导全区农贸市场规划布点及升级改造。负责单用途商业预付卡除集团发卡企业和规模发卡企业以外的其他发卡企业的指导工作。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六）研究分析全区进出口商品状况，提出对策和建议；指导全区对外贸易行业，执行国家进出口商品、加工贸易管理办法和进出口商品目录，指导贸易促进活动和配合落实外贸体系建设，协调推进出口商品基地建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（七）会同有关部门拟定全区口岸发展规划；落实口岸计划的编制、组织实施和检查指导工作；负责全区口岸工作的信息收集、统计和管理工作；组织协调全区口岸系统的通关监督管理和服务工作。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（八）负责指导口岸系统进行涉外政策、法规纪律和国家安全的宣传教育。</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（九）负责全区会展业发展工作。负责会展行业的统筹协调、促进与服务工作；承担会展业统计、评估、培训和对外宣传推介工作；统筹、指导品牌会展活动、会展企业的引进和培育。</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十）负责全区招商引资促进工作和协调推进，组织协调全区性重大招商活动和重点招商企业的跟踪服务，协调推动总部经济发展工作。组织实施招商引资奖励，提供投资服务，受理有关投资投诉；推进投资信息平台建设和区域经济合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（十一）负责全区外商投资企业的管理和服务工作，依法监督检查外商投资企业执行有关法律法规情况。指导和协调外商投资发展和改善外商投资环境，依法保护外商投资企业的合法权益。</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eastAsia" w:ascii="黑体" w:hAnsi="黑体" w:eastAsia="黑体" w:cs="黑体"/>
          <w:sz w:val="32"/>
          <w:szCs w:val="32"/>
          <w:highlight w:val="none"/>
        </w:rPr>
      </w:pPr>
      <w:r>
        <w:rPr>
          <w:rFonts w:hint="default" w:ascii="Times New Roman" w:hAnsi="Times New Roman" w:eastAsia="仿宋_GB2312" w:cs="Times New Roman"/>
          <w:color w:val="auto"/>
          <w:kern w:val="0"/>
          <w:sz w:val="32"/>
          <w:szCs w:val="30"/>
          <w:lang w:eastAsia="zh-CN"/>
        </w:rPr>
        <w:t>（十二）完成区委、区政府和上级部门交办的其他工作任务。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sz w:val="32"/>
          <w:szCs w:val="32"/>
          <w:highlight w:val="none"/>
        </w:rPr>
      </w:pPr>
      <w:bookmarkStart w:id="14" w:name="_Toc17796_WPSOffice_Level2"/>
      <w:bookmarkStart w:id="15" w:name="_Toc6572_WPSOffice_Level2"/>
      <w:bookmarkStart w:id="16" w:name="_Toc4833_WPSOffice_Level2"/>
      <w:bookmarkStart w:id="17" w:name="_Toc24059_WPSOffice_Level2"/>
      <w:bookmarkStart w:id="18" w:name="_Toc24474_WPSOffice_Level2"/>
      <w:r>
        <w:rPr>
          <w:rFonts w:hint="eastAsia" w:ascii="黑体" w:hAnsi="黑体" w:eastAsia="黑体" w:cs="黑体"/>
          <w:sz w:val="32"/>
          <w:szCs w:val="32"/>
          <w:highlight w:val="none"/>
        </w:rPr>
        <w:t>二、机构设置</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根据《中共三亚市天涯区委办公室三亚市天涯区人民政府办公室关于印发三亚市天涯区机构改革实施方案的通知》（天委办〔2024〕20号）要求，于2024年5月27日组建三亚市天涯区商务局，加挂区口岸办公室、区会展局、区投资促进局牌子</w:t>
      </w:r>
      <w:r>
        <w:rPr>
          <w:rFonts w:hint="default" w:ascii="Times New Roman" w:hAnsi="Times New Roman" w:eastAsia="仿宋_GB2312" w:cs="Times New Roman"/>
          <w:sz w:val="32"/>
          <w:szCs w:val="32"/>
          <w:highlight w:val="none"/>
          <w:lang w:eastAsia="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纳入</w:t>
      </w:r>
      <w:r>
        <w:rPr>
          <w:rFonts w:hint="default" w:ascii="Times New Roman" w:hAnsi="Times New Roman" w:eastAsia="仿宋_GB2312" w:cs="Times New Roman"/>
          <w:sz w:val="32"/>
          <w:szCs w:val="32"/>
          <w:highlight w:val="none"/>
          <w:lang w:eastAsia="zh-CN"/>
        </w:rPr>
        <w:t>三亚市天涯区</w:t>
      </w:r>
      <w:r>
        <w:rPr>
          <w:rFonts w:hint="default" w:ascii="Times New Roman" w:hAnsi="Times New Roman" w:eastAsia="仿宋_GB2312" w:cs="Times New Roman"/>
          <w:sz w:val="32"/>
          <w:szCs w:val="32"/>
          <w:highlight w:val="none"/>
          <w:lang w:val="en-US" w:eastAsia="zh-CN"/>
        </w:rPr>
        <w:t>商务局</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bookmarkStart w:id="19" w:name="_Toc25738_WPSOffice_Level2"/>
      <w:bookmarkStart w:id="20" w:name="_Toc24421_WPSOffice_Level2"/>
      <w:r>
        <w:rPr>
          <w:rFonts w:hint="default" w:ascii="Times New Roman" w:hAnsi="Times New Roman" w:eastAsia="仿宋_GB2312" w:cs="Times New Roman"/>
          <w:sz w:val="32"/>
          <w:szCs w:val="32"/>
          <w:highlight w:val="none"/>
          <w:lang w:eastAsia="zh-CN"/>
        </w:rPr>
        <w:t>部门决算</w:t>
      </w:r>
      <w:r>
        <w:rPr>
          <w:rFonts w:hint="default" w:ascii="Times New Roman" w:hAnsi="Times New Roman" w:eastAsia="仿宋_GB2312" w:cs="Times New Roman"/>
          <w:sz w:val="32"/>
          <w:szCs w:val="32"/>
          <w:highlight w:val="none"/>
        </w:rPr>
        <w:t>编制范围为</w:t>
      </w:r>
      <w:r>
        <w:rPr>
          <w:rFonts w:hint="default" w:ascii="Times New Roman" w:hAnsi="Times New Roman" w:eastAsia="仿宋_GB2312" w:cs="Times New Roman"/>
          <w:sz w:val="32"/>
          <w:szCs w:val="32"/>
          <w:highlight w:val="none"/>
          <w:lang w:eastAsia="zh-CN"/>
        </w:rPr>
        <w:t>部门</w:t>
      </w:r>
      <w:r>
        <w:rPr>
          <w:rFonts w:hint="default" w:ascii="Times New Roman" w:hAnsi="Times New Roman" w:eastAsia="仿宋_GB2312" w:cs="Times New Roman"/>
          <w:sz w:val="32"/>
          <w:szCs w:val="32"/>
          <w:highlight w:val="none"/>
        </w:rPr>
        <w:t>本级，没有二级</w:t>
      </w:r>
      <w:r>
        <w:rPr>
          <w:rFonts w:hint="default" w:ascii="Times New Roman" w:hAnsi="Times New Roman" w:eastAsia="仿宋_GB2312" w:cs="Times New Roman"/>
          <w:sz w:val="32"/>
          <w:szCs w:val="32"/>
          <w:highlight w:val="none"/>
          <w:lang w:eastAsia="zh-CN"/>
        </w:rPr>
        <w:t>预算部门</w:t>
      </w:r>
      <w:r>
        <w:rPr>
          <w:rFonts w:hint="default" w:ascii="Times New Roman" w:hAnsi="Times New Roman" w:eastAsia="仿宋_GB2312" w:cs="Times New Roman"/>
          <w:sz w:val="32"/>
          <w:szCs w:val="32"/>
          <w:highlight w:val="none"/>
        </w:rPr>
        <w:t>，不设内部职能机构。</w:t>
      </w:r>
      <w:bookmarkEnd w:id="19"/>
      <w:bookmarkEnd w:id="20"/>
      <w:bookmarkStart w:id="21" w:name="_Toc30451_WPSOffice_Level1"/>
      <w:bookmarkStart w:id="22" w:name="_Toc28253_WPSOffice_Level1"/>
      <w:bookmarkStart w:id="23" w:name="_Toc8164_WPSOffice_Level1"/>
      <w:bookmarkStart w:id="24" w:name="_Toc30690_WPSOffice_Level1"/>
      <w:bookmarkStart w:id="25" w:name="_Toc15521_WPSOffice_Level1"/>
      <w:bookmarkStart w:id="26" w:name="_Toc6234_WPSOffice_Level1"/>
      <w:bookmarkStart w:id="27" w:name="_Toc32695_WPSOffice_Level2"/>
      <w:bookmarkStart w:id="28" w:name="_Toc4029_WPSOffice_Level2"/>
      <w:bookmarkStart w:id="29" w:name="_Toc6211_WPSOffice_Level2"/>
      <w:bookmarkStart w:id="30" w:name="_Toc32472_WPSOffice_Level2"/>
      <w:bookmarkStart w:id="31" w:name="_Toc11518_WPSOffice_Level2"/>
      <w:bookmarkStart w:id="32" w:name="_Toc8867_WPSOffice_Level2"/>
    </w:p>
    <w:p>
      <w:pPr>
        <w:pStyle w:val="2"/>
        <w:pageBreakBefore w:val="0"/>
        <w:widowControl w:val="0"/>
        <w:kinsoku/>
        <w:wordWrap/>
        <w:overflowPunct/>
        <w:topLinePunct w:val="0"/>
        <w:autoSpaceDE/>
        <w:autoSpaceDN/>
        <w:bidi w:val="0"/>
        <w:adjustRightInd/>
        <w:snapToGrid/>
        <w:spacing w:line="578" w:lineRule="exact"/>
        <w:textAlignment w:val="auto"/>
        <w:rPr>
          <w:rFonts w:hint="eastAsia"/>
        </w:rPr>
      </w:pPr>
    </w:p>
    <w:p>
      <w:pPr>
        <w:pageBreakBefore w:val="0"/>
        <w:widowControl w:val="0"/>
        <w:numPr>
          <w:ilvl w:val="0"/>
          <w:numId w:val="0"/>
        </w:numPr>
        <w:kinsoku/>
        <w:wordWrap/>
        <w:overflowPunct/>
        <w:topLinePunct w:val="0"/>
        <w:autoSpaceDE/>
        <w:autoSpaceDN/>
        <w:bidi w:val="0"/>
        <w:adjustRightInd/>
        <w:snapToGrid/>
        <w:spacing w:line="578"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第二部分</w:t>
      </w:r>
      <w:r>
        <w:rPr>
          <w:rFonts w:hint="eastAsia" w:ascii="黑体" w:hAnsi="黑体" w:eastAsia="黑体" w:cs="黑体"/>
          <w:sz w:val="32"/>
          <w:szCs w:val="32"/>
          <w:highlight w:val="none"/>
        </w:rPr>
        <w:t xml:space="preserve"> </w:t>
      </w:r>
      <w:r>
        <w:rPr>
          <w:rFonts w:hint="default" w:ascii="Times New Roman" w:hAnsi="Times New Roman" w:eastAsia="黑体" w:cs="Times New Roman"/>
          <w:sz w:val="32"/>
          <w:szCs w:val="32"/>
          <w:highlight w:val="none"/>
        </w:rPr>
        <w:t>202</w:t>
      </w:r>
      <w:r>
        <w:rPr>
          <w:rFonts w:hint="default" w:ascii="Times New Roman" w:hAnsi="Times New Roman" w:eastAsia="黑体" w:cs="Times New Roman"/>
          <w:color w:val="000000"/>
          <w:sz w:val="32"/>
          <w:szCs w:val="32"/>
          <w:highlight w:val="none"/>
        </w:rPr>
        <w:t>4</w:t>
      </w:r>
      <w:r>
        <w:rPr>
          <w:rFonts w:hint="eastAsia" w:ascii="黑体" w:hAnsi="黑体" w:eastAsia="黑体" w:cs="黑体"/>
          <w:sz w:val="32"/>
          <w:szCs w:val="32"/>
          <w:highlight w:val="none"/>
        </w:rPr>
        <w:t>年度部门决算公开报表</w:t>
      </w:r>
      <w:bookmarkEnd w:id="21"/>
      <w:bookmarkEnd w:id="22"/>
      <w:bookmarkEnd w:id="23"/>
      <w:bookmarkEnd w:id="24"/>
      <w:bookmarkEnd w:id="25"/>
      <w:bookmarkEnd w:id="26"/>
    </w:p>
    <w:p>
      <w:pPr>
        <w:pStyle w:val="2"/>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rPr>
      </w:pP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一、收入支出决算公开表</w:t>
      </w:r>
      <w:bookmarkEnd w:id="27"/>
      <w:bookmarkEnd w:id="28"/>
      <w:bookmarkEnd w:id="29"/>
      <w:bookmarkEnd w:id="30"/>
      <w:bookmarkEnd w:id="31"/>
      <w:bookmarkEnd w:id="3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bookmarkStart w:id="33" w:name="_Toc26621_WPSOffice_Level2"/>
      <w:bookmarkStart w:id="34" w:name="_Toc28622_WPSOffice_Level2"/>
      <w:bookmarkStart w:id="35" w:name="_Toc14349_WPSOffice_Level2"/>
      <w:bookmarkStart w:id="36" w:name="_Toc25608_WPSOffice_Level2"/>
      <w:bookmarkStart w:id="37" w:name="_Toc30334_WPSOffice_Level2"/>
      <w:bookmarkStart w:id="38" w:name="_Toc23139_WPSOffice_Level2"/>
      <w:r>
        <w:rPr>
          <w:rFonts w:hint="eastAsia" w:ascii="黑体" w:hAnsi="黑体" w:eastAsia="黑体" w:cs="黑体"/>
          <w:sz w:val="32"/>
          <w:szCs w:val="32"/>
          <w:highlight w:val="none"/>
        </w:rPr>
        <w:t>二、收入决算公开表</w:t>
      </w:r>
      <w:bookmarkEnd w:id="33"/>
      <w:bookmarkEnd w:id="34"/>
      <w:bookmarkEnd w:id="35"/>
      <w:bookmarkEnd w:id="36"/>
      <w:bookmarkEnd w:id="37"/>
      <w:bookmarkEnd w:id="38"/>
      <w:bookmarkStart w:id="39" w:name="_Toc3262_WPSOffice_Level2"/>
      <w:bookmarkStart w:id="40" w:name="_Toc17858_WPSOffice_Level2"/>
      <w:bookmarkStart w:id="41" w:name="_Toc14658_WPSOffice_Level2"/>
      <w:bookmarkStart w:id="42" w:name="_Toc5489_WPSOffice_Level2"/>
      <w:bookmarkStart w:id="43" w:name="_Toc13854_WPSOffice_Level2"/>
      <w:bookmarkStart w:id="44" w:name="_Toc17626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三、支出决算公开表</w:t>
      </w:r>
      <w:bookmarkEnd w:id="39"/>
      <w:bookmarkEnd w:id="40"/>
      <w:bookmarkEnd w:id="41"/>
      <w:bookmarkEnd w:id="42"/>
      <w:bookmarkEnd w:id="43"/>
      <w:bookmarkEnd w:id="44"/>
      <w:bookmarkStart w:id="45" w:name="_Toc13701_WPSOffice_Level2"/>
      <w:bookmarkStart w:id="46" w:name="_Toc23493_WPSOffice_Level2"/>
      <w:bookmarkStart w:id="47" w:name="_Toc23591_WPSOffice_Level2"/>
      <w:bookmarkStart w:id="48" w:name="_Toc7988_WPSOffice_Level2"/>
      <w:bookmarkStart w:id="49" w:name="_Toc21415_WPSOffice_Level2"/>
      <w:bookmarkStart w:id="50" w:name="_Toc4265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四、财政拨款收入支出决算公开表</w:t>
      </w:r>
      <w:bookmarkEnd w:id="45"/>
      <w:bookmarkEnd w:id="46"/>
      <w:bookmarkEnd w:id="47"/>
      <w:bookmarkEnd w:id="48"/>
      <w:bookmarkEnd w:id="49"/>
      <w:bookmarkEnd w:id="50"/>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bookmarkStart w:id="51" w:name="_Toc7879_WPSOffice_Level2"/>
      <w:bookmarkStart w:id="52" w:name="_Toc23829_WPSOffice_Level2"/>
      <w:bookmarkStart w:id="53" w:name="_Toc25166_WPSOffice_Level2"/>
      <w:bookmarkStart w:id="54" w:name="_Toc22783_WPSOffice_Level2"/>
      <w:bookmarkStart w:id="55" w:name="_Toc13516_WPSOffice_Level2"/>
      <w:bookmarkStart w:id="56" w:name="_Toc2158_WPSOffice_Level2"/>
      <w:r>
        <w:rPr>
          <w:rFonts w:hint="eastAsia" w:ascii="黑体" w:hAnsi="黑体" w:eastAsia="黑体" w:cs="黑体"/>
          <w:sz w:val="32"/>
          <w:szCs w:val="32"/>
          <w:highlight w:val="none"/>
        </w:rPr>
        <w:t>五、一般公共预算财政拨款收入支出决算</w:t>
      </w:r>
      <w:bookmarkEnd w:id="51"/>
      <w:bookmarkEnd w:id="52"/>
      <w:bookmarkEnd w:id="53"/>
      <w:bookmarkEnd w:id="54"/>
      <w:r>
        <w:rPr>
          <w:rFonts w:hint="eastAsia" w:ascii="黑体" w:hAnsi="黑体" w:eastAsia="黑体" w:cs="黑体"/>
          <w:sz w:val="32"/>
          <w:szCs w:val="32"/>
          <w:highlight w:val="none"/>
        </w:rPr>
        <w:t>公开表</w:t>
      </w:r>
      <w:bookmarkEnd w:id="55"/>
      <w:bookmarkEnd w:id="56"/>
      <w:bookmarkStart w:id="57" w:name="_Toc25362_WPSOffice_Level2"/>
      <w:bookmarkStart w:id="58" w:name="_Toc2632_WPSOffice_Level2"/>
      <w:bookmarkStart w:id="59" w:name="_Toc8373_WPSOffice_Level2"/>
      <w:bookmarkStart w:id="60" w:name="_Toc5343_WPSOffice_Level2"/>
      <w:bookmarkStart w:id="61" w:name="_Toc17833_WPSOffice_Level2"/>
      <w:bookmarkStart w:id="62" w:name="_Toc17283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六、一般公共预算财政拨款基本支出决算</w:t>
      </w:r>
      <w:bookmarkEnd w:id="57"/>
      <w:bookmarkEnd w:id="58"/>
      <w:bookmarkEnd w:id="59"/>
      <w:bookmarkEnd w:id="60"/>
      <w:bookmarkEnd w:id="61"/>
      <w:bookmarkEnd w:id="62"/>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left="1118" w:leftChars="304" w:hanging="480" w:hangingChars="150"/>
        <w:textAlignment w:val="auto"/>
        <w:rPr>
          <w:rFonts w:hint="eastAsia" w:ascii="黑体" w:hAnsi="黑体" w:eastAsia="黑体" w:cs="黑体"/>
          <w:sz w:val="32"/>
          <w:szCs w:val="32"/>
          <w:highlight w:val="none"/>
        </w:rPr>
      </w:pPr>
      <w:bookmarkStart w:id="63" w:name="_Toc21310_WPSOffice_Level2"/>
      <w:bookmarkStart w:id="64" w:name="_Toc11799_WPSOffice_Level2"/>
      <w:bookmarkStart w:id="65" w:name="_Toc6020_WPSOffice_Level2"/>
      <w:bookmarkStart w:id="66" w:name="_Toc13345_WPSOffice_Level2"/>
      <w:bookmarkStart w:id="67" w:name="_Toc1533_WPSOffice_Level2"/>
      <w:bookmarkStart w:id="68" w:name="_Toc5594_WPSOffice_Level2"/>
      <w:r>
        <w:rPr>
          <w:rFonts w:hint="eastAsia" w:ascii="黑体" w:hAnsi="黑体" w:eastAsia="黑体" w:cs="黑体"/>
          <w:sz w:val="32"/>
          <w:szCs w:val="32"/>
          <w:highlight w:val="none"/>
        </w:rPr>
        <w:t>七、政府性基金预算财政拨款收入支出决算</w:t>
      </w:r>
      <w:bookmarkEnd w:id="63"/>
      <w:bookmarkEnd w:id="64"/>
      <w:bookmarkEnd w:id="65"/>
      <w:bookmarkEnd w:id="66"/>
      <w:bookmarkEnd w:id="67"/>
      <w:bookmarkEnd w:id="68"/>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left="1118" w:leftChars="304" w:hanging="480" w:hangingChars="15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八、国有资本经营预算财政拨款收入支出决算公开表</w:t>
      </w:r>
    </w:p>
    <w:p>
      <w:pPr>
        <w:pageBreakBefore w:val="0"/>
        <w:widowControl w:val="0"/>
        <w:kinsoku/>
        <w:wordWrap/>
        <w:overflowPunct/>
        <w:topLinePunct w:val="0"/>
        <w:autoSpaceDE/>
        <w:autoSpaceDN/>
        <w:bidi w:val="0"/>
        <w:adjustRightInd/>
        <w:snapToGrid/>
        <w:spacing w:line="578" w:lineRule="exact"/>
        <w:ind w:firstLine="640"/>
        <w:textAlignment w:val="auto"/>
        <w:rPr>
          <w:rFonts w:hint="eastAsia" w:ascii="黑体" w:hAnsi="黑体" w:eastAsia="黑体" w:cs="黑体"/>
          <w:sz w:val="32"/>
          <w:szCs w:val="32"/>
          <w:highlight w:val="none"/>
        </w:rPr>
      </w:pPr>
      <w:bookmarkStart w:id="69" w:name="_Toc1820_WPSOffice_Level2"/>
      <w:bookmarkStart w:id="70" w:name="_Toc19961_WPSOffice_Level2"/>
      <w:bookmarkStart w:id="71" w:name="_Toc29886_WPSOffice_Level2"/>
      <w:bookmarkStart w:id="72" w:name="_Toc9377_WPSOffice_Level2"/>
      <w:r>
        <w:rPr>
          <w:rFonts w:hint="eastAsia" w:ascii="黑体" w:hAnsi="黑体" w:eastAsia="黑体" w:cs="黑体"/>
          <w:sz w:val="32"/>
          <w:szCs w:val="32"/>
          <w:highlight w:val="none"/>
        </w:rPr>
        <w:t>九、财政拨款“三公”经费支出决算</w:t>
      </w:r>
      <w:bookmarkEnd w:id="69"/>
      <w:bookmarkEnd w:id="70"/>
      <w:bookmarkEnd w:id="71"/>
      <w:bookmarkEnd w:id="72"/>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firstLine="640"/>
        <w:textAlignment w:val="auto"/>
        <w:rPr>
          <w:rFonts w:hint="eastAsia" w:ascii="黑体" w:hAnsi="黑体" w:eastAsia="黑体" w:cs="黑体"/>
          <w:sz w:val="32"/>
          <w:szCs w:val="32"/>
          <w:highlight w:val="none"/>
        </w:rPr>
      </w:pPr>
      <w:r>
        <w:rPr>
          <w:rFonts w:hint="eastAsia" w:ascii="仿宋_GB2312" w:hAnsi="仿宋_GB2312" w:eastAsia="仿宋_GB2312" w:cs="仿宋_GB2312"/>
          <w:w w:val="100"/>
          <w:sz w:val="32"/>
          <w:szCs w:val="32"/>
          <w:highlight w:val="none"/>
        </w:rPr>
        <w:t>以上报表见附件</w:t>
      </w:r>
      <w:r>
        <w:rPr>
          <w:rFonts w:hint="default" w:ascii="Times New Roman" w:hAnsi="Times New Roman" w:eastAsia="仿宋" w:cs="Times New Roman"/>
          <w:w w:val="100"/>
          <w:sz w:val="32"/>
          <w:szCs w:val="32"/>
          <w:highlight w:val="none"/>
        </w:rPr>
        <w:t>1</w:t>
      </w:r>
      <w:r>
        <w:rPr>
          <w:rFonts w:hint="eastAsia" w:ascii="仿宋" w:hAnsi="仿宋" w:eastAsia="仿宋" w:cs="仿宋"/>
          <w:w w:val="100"/>
          <w:sz w:val="32"/>
          <w:szCs w:val="32"/>
          <w:highlight w:val="none"/>
        </w:rPr>
        <w:t>。</w:t>
      </w:r>
      <w:r>
        <w:rPr>
          <w:rFonts w:hint="eastAsia" w:ascii="黑体" w:hAnsi="黑体" w:eastAsia="黑体" w:cs="黑体"/>
          <w:w w:val="96"/>
          <w:sz w:val="32"/>
          <w:szCs w:val="32"/>
          <w:highlight w:val="none"/>
        </w:rPr>
        <w:t xml:space="preserve">   </w:t>
      </w:r>
    </w:p>
    <w:p>
      <w:pPr>
        <w:pageBreakBefore w:val="0"/>
        <w:widowControl w:val="0"/>
        <w:kinsoku/>
        <w:wordWrap/>
        <w:overflowPunct/>
        <w:topLinePunct w:val="0"/>
        <w:autoSpaceDE/>
        <w:autoSpaceDN/>
        <w:bidi w:val="0"/>
        <w:adjustRightInd/>
        <w:snapToGrid/>
        <w:spacing w:line="578" w:lineRule="exact"/>
        <w:textAlignment w:val="auto"/>
        <w:rPr>
          <w:rFonts w:hint="eastAsia" w:ascii="黑体" w:hAnsi="黑体" w:eastAsia="黑体" w:cs="黑体"/>
          <w:sz w:val="32"/>
          <w:szCs w:val="32"/>
          <w:highlight w:val="none"/>
        </w:rPr>
      </w:pP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sz w:val="32"/>
          <w:szCs w:val="32"/>
          <w:highlight w:val="none"/>
        </w:rPr>
      </w:pPr>
      <w:bookmarkStart w:id="73" w:name="_Toc27590_WPSOffice_Level1"/>
      <w:bookmarkStart w:id="74" w:name="_Toc28629_WPSOffice_Level1"/>
      <w:bookmarkStart w:id="75" w:name="_Toc4402_WPSOffice_Level1"/>
      <w:bookmarkStart w:id="76" w:name="_Toc29683_WPSOffice_Level1"/>
      <w:bookmarkStart w:id="77" w:name="_Toc16686_WPSOffice_Level1"/>
      <w:bookmarkStart w:id="78" w:name="_Toc31264_WPSOffice_Level1"/>
      <w:r>
        <w:rPr>
          <w:rFonts w:hint="eastAsia" w:ascii="仿宋_GB2312" w:hAnsi="仿宋_GB2312" w:eastAsia="仿宋_GB2312" w:cs="仿宋_GB2312"/>
          <w:sz w:val="32"/>
          <w:szCs w:val="32"/>
          <w:highlight w:val="none"/>
        </w:rPr>
        <w:t>第三部分  2024年度部门决算情况说明</w:t>
      </w:r>
      <w:bookmarkEnd w:id="73"/>
      <w:bookmarkEnd w:id="74"/>
      <w:bookmarkEnd w:id="75"/>
      <w:bookmarkEnd w:id="76"/>
      <w:bookmarkEnd w:id="77"/>
      <w:bookmarkEnd w:id="78"/>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bCs/>
          <w:sz w:val="32"/>
          <w:szCs w:val="32"/>
          <w:highlight w:val="none"/>
        </w:rPr>
        <w:t>一、收入支出总体情况说明</w:t>
      </w:r>
      <w:r>
        <w:rPr>
          <w:rFonts w:hint="eastAsia" w:ascii="黑体" w:hAnsi="黑体" w:eastAsia="黑体" w:cs="黑体"/>
          <w:bCs/>
          <w:sz w:val="32"/>
          <w:szCs w:val="32"/>
          <w:highlight w:val="none"/>
        </w:rPr>
        <w:br w:type="textWrapping"/>
      </w:r>
      <w:r>
        <w:rPr>
          <w:rFonts w:hint="eastAsia" w:ascii="楷体_GB2312" w:hAnsi="ˎ̥" w:eastAsia="楷体_GB2312"/>
          <w:sz w:val="32"/>
          <w:szCs w:val="32"/>
          <w:highlight w:val="none"/>
        </w:rPr>
        <w:t xml:space="preserve">    </w:t>
      </w:r>
      <w:r>
        <w:rPr>
          <w:rFonts w:hint="default" w:ascii="Times New Roman" w:hAnsi="Times New Roman" w:eastAsia="仿宋_GB2312" w:cs="Times New Roman"/>
          <w:sz w:val="32"/>
          <w:szCs w:val="32"/>
          <w:highlight w:val="none"/>
        </w:rPr>
        <w:t>2024年度收入总计</w:t>
      </w:r>
      <w:r>
        <w:rPr>
          <w:rFonts w:hint="default" w:ascii="Times New Roman" w:hAnsi="Times New Roman" w:eastAsia="仿宋_GB2312" w:cs="Times New Roman"/>
          <w:color w:val="auto"/>
          <w:sz w:val="32"/>
          <w:szCs w:val="32"/>
          <w:highlight w:val="none"/>
          <w:lang w:val="en-US" w:eastAsia="zh-CN"/>
        </w:rPr>
        <w:t>579.53</w:t>
      </w:r>
      <w:r>
        <w:rPr>
          <w:rFonts w:hint="default" w:ascii="Times New Roman" w:hAnsi="Times New Roman" w:eastAsia="仿宋_GB2312" w:cs="Times New Roman"/>
          <w:sz w:val="32"/>
          <w:szCs w:val="32"/>
          <w:highlight w:val="none"/>
        </w:rPr>
        <w:t>万元，支出总计</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万元，与</w:t>
      </w:r>
      <w:r>
        <w:rPr>
          <w:rFonts w:hint="default" w:ascii="Times New Roman" w:hAnsi="Times New Roman" w:eastAsia="仿宋_GB2312" w:cs="Times New Roman"/>
          <w:sz w:val="32"/>
          <w:szCs w:val="32"/>
          <w:highlight w:val="none"/>
          <w:lang w:val="en-US"/>
        </w:rPr>
        <w:t>2023</w:t>
      </w:r>
      <w:r>
        <w:rPr>
          <w:rFonts w:hint="default" w:ascii="Times New Roman" w:hAnsi="Times New Roman" w:eastAsia="仿宋_GB2312" w:cs="Times New Roman"/>
          <w:sz w:val="32"/>
          <w:szCs w:val="32"/>
          <w:highlight w:val="none"/>
        </w:rPr>
        <w:t>年度相比，收入、支出总计各增加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2024年机构改革，我局于2024年5月27日成立，所以上年度没有发生与本年度相关的收支决算数据。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（一）收入总计主要构成</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使用非财政拨款结余（含专用结余）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使用非财政拨款结余（含专用结余</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lang w:val="en-US" w:eastAsia="zh-CN"/>
        </w:rPr>
        <w:t>决算数据。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年初结转结余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2024年机构改革，我局于2024年5月27日成立，所以上年度没有发生与本年度相关的年初结转结余决算数据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（二）支出总计主要构成</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结余分配</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结余分配</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年末结转结余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年末结转结余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bCs/>
          <w:sz w:val="32"/>
          <w:szCs w:val="32"/>
          <w:highlight w:val="none"/>
        </w:rPr>
        <w:t>二、收入决算情况说明</w:t>
      </w:r>
      <w:r>
        <w:rPr>
          <w:rFonts w:hint="eastAsia" w:ascii="黑体" w:hAnsi="黑体" w:eastAsia="黑体" w:cs="黑体"/>
          <w:bCs/>
          <w:sz w:val="32"/>
          <w:szCs w:val="32"/>
          <w:highlight w:val="none"/>
        </w:rPr>
        <w:br w:type="textWrapping"/>
      </w:r>
      <w:r>
        <w:rPr>
          <w:rFonts w:hint="eastAsia" w:ascii="仿宋_GB2312" w:hAnsi="ˎ̥" w:eastAsia="仿宋_GB2312"/>
          <w:sz w:val="32"/>
          <w:szCs w:val="32"/>
          <w:highlight w:val="none"/>
        </w:rPr>
        <w:t xml:space="preserve">    </w:t>
      </w:r>
      <w:r>
        <w:rPr>
          <w:rFonts w:hint="default" w:ascii="Times New Roman" w:hAnsi="Times New Roman" w:eastAsia="仿宋_GB2312" w:cs="Times New Roman"/>
          <w:sz w:val="32"/>
          <w:szCs w:val="32"/>
          <w:highlight w:val="none"/>
        </w:rPr>
        <w:t>本年收入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万元，其中：财政拨款收入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%；上级补助收入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%；事业收入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%；经营收入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%；附属单位上缴收入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%；其他收入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三、支出决算情况说明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万元，其中：基本支出</w:t>
      </w:r>
      <w:r>
        <w:rPr>
          <w:rFonts w:hint="default" w:ascii="Times New Roman" w:hAnsi="Times New Roman" w:eastAsia="仿宋_GB2312" w:cs="Times New Roman"/>
          <w:sz w:val="32"/>
          <w:szCs w:val="32"/>
          <w:highlight w:val="none"/>
          <w:lang w:val="en-US"/>
        </w:rPr>
        <w:t>51.04</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8.81</w:t>
      </w:r>
      <w:r>
        <w:rPr>
          <w:rFonts w:hint="default" w:ascii="Times New Roman" w:hAnsi="Times New Roman" w:eastAsia="仿宋_GB2312" w:cs="Times New Roman"/>
          <w:sz w:val="32"/>
          <w:szCs w:val="32"/>
          <w:highlight w:val="none"/>
        </w:rPr>
        <w:t>%；项目支出</w:t>
      </w:r>
      <w:r>
        <w:rPr>
          <w:rFonts w:hint="default" w:ascii="Times New Roman" w:hAnsi="Times New Roman" w:eastAsia="仿宋_GB2312" w:cs="Times New Roman"/>
          <w:sz w:val="32"/>
          <w:szCs w:val="32"/>
          <w:highlight w:val="none"/>
          <w:lang w:val="en-US"/>
        </w:rPr>
        <w:t>528.49</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91.19</w:t>
      </w:r>
      <w:r>
        <w:rPr>
          <w:rFonts w:hint="default" w:ascii="Times New Roman" w:hAnsi="Times New Roman" w:eastAsia="仿宋_GB2312" w:cs="Times New Roman"/>
          <w:sz w:val="32"/>
          <w:szCs w:val="32"/>
          <w:highlight w:val="none"/>
        </w:rPr>
        <w:t>%；上缴上级支出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%；经营支出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%；对附属单位补助支出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四、财政拨款收入支出决算总体情况说明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2024年度财政拨款收入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万元。与2023年度相比，财政拨款收入增加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财政拨款收入</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w:t>
      </w:r>
      <w:r>
        <w:rPr>
          <w:rFonts w:hint="default" w:ascii="Times New Roman" w:hAnsi="Times New Roman" w:eastAsia="仿宋_GB2312" w:cs="Times New Roman"/>
          <w:sz w:val="32"/>
          <w:szCs w:val="32"/>
          <w:highlight w:val="none"/>
          <w:lang w:eastAsia="zh-CN"/>
        </w:rPr>
        <w:t>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财政拨款年初结转结余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财政拨款年初结转结余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财政拨款年末结转结余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财政拨款年末结转结余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五、一般公共预算财政拨款支出决算情况说明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79" w:name="_Toc23005_WPSOffice_Level2"/>
      <w:bookmarkStart w:id="80" w:name="_Toc13694_WPSOffice_Level2"/>
      <w:bookmarkStart w:id="81" w:name="_Toc17398_WPSOffice_Level2"/>
      <w:bookmarkStart w:id="82" w:name="_Toc9989_WPSOffice_Level2"/>
      <w:bookmarkStart w:id="83" w:name="_Toc21737_WPSOffice_Level2"/>
      <w:bookmarkStart w:id="84" w:name="_Toc19665_WPSOffice_Level2"/>
      <w:r>
        <w:rPr>
          <w:rFonts w:hint="eastAsia" w:ascii="楷体_GB2312" w:hAnsi="楷体_GB2312" w:eastAsia="楷体_GB2312" w:cs="楷体_GB2312"/>
          <w:sz w:val="32"/>
          <w:szCs w:val="32"/>
          <w:highlight w:val="none"/>
        </w:rPr>
        <w:t>（一）一般公共预算财政拨款支出决算总体情况</w:t>
      </w:r>
      <w:bookmarkEnd w:id="79"/>
      <w:bookmarkEnd w:id="80"/>
      <w:bookmarkEnd w:id="81"/>
      <w:bookmarkEnd w:id="82"/>
      <w:bookmarkEnd w:id="83"/>
      <w:bookmarkEnd w:id="84"/>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2024年度一般公共预算财政拨款支出</w:t>
      </w:r>
      <w:r>
        <w:rPr>
          <w:rFonts w:hint="eastAsia" w:ascii="仿宋" w:hAnsi="仿宋" w:eastAsia="仿宋" w:cs="仿宋"/>
          <w:sz w:val="32"/>
          <w:szCs w:val="32"/>
          <w:highlight w:val="none"/>
          <w:lang w:val="en-US"/>
        </w:rPr>
        <w:t>579.53</w:t>
      </w:r>
      <w:r>
        <w:rPr>
          <w:rFonts w:hint="eastAsia" w:ascii="仿宋" w:hAnsi="仿宋" w:eastAsia="仿宋" w:cs="仿宋"/>
          <w:sz w:val="32"/>
          <w:szCs w:val="32"/>
          <w:highlight w:val="none"/>
        </w:rPr>
        <w:t>万元，占本年支出合计的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%。与2023年度相比，一般公共预算财政拨款支出增加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w:t>
      </w:r>
      <w:r>
        <w:rPr>
          <w:rFonts w:hint="eastAsia" w:ascii="Times New Roman" w:hAnsi="Times New Roman" w:eastAsia="仿宋_GB2312" w:cs="Times New Roman"/>
          <w:sz w:val="32"/>
          <w:szCs w:val="32"/>
          <w:lang w:val="en-US" w:eastAsia="zh-CN"/>
        </w:rPr>
        <w:t>我局于</w:t>
      </w:r>
      <w:r>
        <w:rPr>
          <w:rFonts w:hint="default" w:ascii="Times New Roman" w:hAnsi="Times New Roman" w:eastAsia="仿宋_GB2312" w:cs="Times New Roman"/>
          <w:sz w:val="32"/>
          <w:szCs w:val="32"/>
          <w:lang w:val="en-US" w:eastAsia="zh-CN"/>
        </w:rPr>
        <w:t>2024年5月27日成立，所以上年度没有发生与本年度相关的一般公共预算财政拨款支出决算数据</w:t>
      </w:r>
      <w:r>
        <w:rPr>
          <w:rFonts w:hint="eastAsia" w:ascii="仿宋" w:hAnsi="仿宋" w:eastAsia="仿宋" w:cs="仿宋"/>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85" w:name="_Toc19075_WPSOffice_Level2"/>
      <w:bookmarkStart w:id="86" w:name="_Toc27767_WPSOffice_Level2"/>
      <w:bookmarkStart w:id="87" w:name="_Toc23864_WPSOffice_Level2"/>
      <w:bookmarkStart w:id="88" w:name="_Toc2711_WPSOffice_Level2"/>
      <w:bookmarkStart w:id="89" w:name="_Toc19535_WPSOffice_Level2"/>
      <w:bookmarkStart w:id="90" w:name="_Toc18793_WPSOffice_Level2"/>
      <w:r>
        <w:rPr>
          <w:rFonts w:hint="eastAsia" w:ascii="楷体_GB2312" w:hAnsi="楷体_GB2312" w:eastAsia="楷体_GB2312" w:cs="楷体_GB2312"/>
          <w:sz w:val="32"/>
          <w:szCs w:val="32"/>
          <w:highlight w:val="none"/>
        </w:rPr>
        <w:t>（二）一般公共预算财政拨款支出决算结构情况</w:t>
      </w:r>
      <w:bookmarkEnd w:id="85"/>
      <w:bookmarkEnd w:id="86"/>
      <w:bookmarkEnd w:id="87"/>
      <w:bookmarkEnd w:id="88"/>
      <w:bookmarkEnd w:id="89"/>
      <w:bookmarkEnd w:id="90"/>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2024年度一般公共预算财政拨款支出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万元，主要用于以下方面：</w:t>
      </w:r>
      <w:r>
        <w:rPr>
          <w:rFonts w:hint="eastAsia" w:ascii="仿宋_GB2312" w:hAnsi="仿宋_GB2312" w:eastAsia="仿宋_GB2312" w:cs="仿宋_GB2312"/>
          <w:b/>
          <w:sz w:val="32"/>
          <w:szCs w:val="32"/>
          <w:highlight w:val="none"/>
        </w:rPr>
        <w:t>一般公共服务（类）</w:t>
      </w:r>
      <w:r>
        <w:rPr>
          <w:rFonts w:hint="default" w:ascii="Times New Roman" w:hAnsi="Times New Roman" w:eastAsia="仿宋_GB2312" w:cs="Times New Roman"/>
          <w:sz w:val="32"/>
          <w:szCs w:val="32"/>
          <w:highlight w:val="none"/>
        </w:rPr>
        <w:t>支出560.42万元，占</w:t>
      </w:r>
      <w:r>
        <w:rPr>
          <w:rFonts w:hint="default" w:ascii="Times New Roman" w:hAnsi="Times New Roman" w:eastAsia="仿宋_GB2312" w:cs="Times New Roman"/>
          <w:sz w:val="32"/>
          <w:szCs w:val="32"/>
          <w:highlight w:val="none"/>
          <w:lang w:val="en-US" w:eastAsia="zh-CN"/>
        </w:rPr>
        <w:t>96.70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sz w:val="32"/>
          <w:szCs w:val="32"/>
          <w:highlight w:val="none"/>
        </w:rPr>
        <w:t>社会保障和就业（类）</w:t>
      </w:r>
      <w:r>
        <w:rPr>
          <w:rFonts w:hint="default" w:ascii="Times New Roman" w:hAnsi="Times New Roman" w:eastAsia="仿宋_GB2312" w:cs="Times New Roman"/>
          <w:sz w:val="32"/>
          <w:szCs w:val="32"/>
          <w:highlight w:val="none"/>
        </w:rPr>
        <w:t>支出10.13万元，占</w:t>
      </w:r>
      <w:r>
        <w:rPr>
          <w:rFonts w:hint="default" w:ascii="Times New Roman" w:hAnsi="Times New Roman" w:eastAsia="仿宋_GB2312" w:cs="Times New Roman"/>
          <w:sz w:val="32"/>
          <w:szCs w:val="32"/>
          <w:highlight w:val="none"/>
          <w:lang w:val="en-US" w:eastAsia="zh-CN"/>
        </w:rPr>
        <w:t>1.75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住房保障（类）</w:t>
      </w:r>
      <w:r>
        <w:rPr>
          <w:rFonts w:hint="default" w:ascii="Times New Roman" w:hAnsi="Times New Roman" w:eastAsia="仿宋_GB2312" w:cs="Times New Roman"/>
          <w:sz w:val="32"/>
          <w:szCs w:val="32"/>
          <w:highlight w:val="none"/>
        </w:rPr>
        <w:t>支出3.83万元，占</w:t>
      </w:r>
      <w:r>
        <w:rPr>
          <w:rFonts w:hint="default" w:ascii="Times New Roman" w:hAnsi="Times New Roman" w:eastAsia="仿宋_GB2312" w:cs="Times New Roman"/>
          <w:sz w:val="32"/>
          <w:szCs w:val="32"/>
          <w:highlight w:val="none"/>
          <w:lang w:val="en-US" w:eastAsia="zh-CN"/>
        </w:rPr>
        <w:t>0.66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卫生健康</w:t>
      </w:r>
      <w:r>
        <w:rPr>
          <w:rFonts w:hint="default" w:ascii="Times New Roman" w:hAnsi="Times New Roman" w:eastAsia="仿宋_GB2312" w:cs="Times New Roman"/>
          <w:b/>
          <w:bCs/>
          <w:sz w:val="32"/>
          <w:szCs w:val="32"/>
          <w:highlight w:val="none"/>
          <w:lang w:eastAsia="zh-CN"/>
        </w:rPr>
        <w:t>（类）</w:t>
      </w:r>
      <w:r>
        <w:rPr>
          <w:rFonts w:hint="default" w:ascii="Times New Roman" w:hAnsi="Times New Roman" w:eastAsia="仿宋_GB2312" w:cs="Times New Roman"/>
          <w:sz w:val="32"/>
          <w:szCs w:val="32"/>
          <w:highlight w:val="none"/>
        </w:rPr>
        <w:t>支出5.15</w:t>
      </w:r>
      <w:r>
        <w:rPr>
          <w:rFonts w:hint="default" w:ascii="Times New Roman" w:hAnsi="Times New Roman" w:eastAsia="仿宋_GB2312" w:cs="Times New Roman"/>
          <w:sz w:val="32"/>
          <w:szCs w:val="32"/>
          <w:highlight w:val="none"/>
          <w:lang w:eastAsia="zh-CN"/>
        </w:rPr>
        <w:t>万元，</w:t>
      </w:r>
      <w:r>
        <w:rPr>
          <w:rFonts w:hint="default" w:ascii="Times New Roman" w:hAnsi="Times New Roman" w:eastAsia="仿宋_GB2312" w:cs="Times New Roman"/>
          <w:sz w:val="32"/>
          <w:szCs w:val="32"/>
          <w:highlight w:val="none"/>
        </w:rPr>
        <w:t>占</w:t>
      </w:r>
      <w:r>
        <w:rPr>
          <w:rFonts w:hint="default" w:ascii="Times New Roman" w:hAnsi="Times New Roman" w:eastAsia="仿宋_GB2312" w:cs="Times New Roman"/>
          <w:sz w:val="32"/>
          <w:szCs w:val="32"/>
          <w:highlight w:val="none"/>
          <w:lang w:val="en-US" w:eastAsia="zh-CN"/>
        </w:rPr>
        <w:t>0.89</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91" w:name="_Toc25136_WPSOffice_Level2"/>
      <w:bookmarkStart w:id="92" w:name="_Toc15415_WPSOffice_Level2"/>
      <w:bookmarkStart w:id="93" w:name="_Toc29364_WPSOffice_Level2"/>
      <w:bookmarkStart w:id="94" w:name="_Toc22318_WPSOffice_Level2"/>
      <w:bookmarkStart w:id="95" w:name="_Toc21701_WPSOffice_Level2"/>
      <w:bookmarkStart w:id="96" w:name="_Toc9502_WPSOffice_Level2"/>
      <w:r>
        <w:rPr>
          <w:rFonts w:hint="eastAsia" w:ascii="楷体_GB2312" w:hAnsi="楷体_GB2312" w:eastAsia="楷体_GB2312" w:cs="楷体_GB2312"/>
          <w:sz w:val="32"/>
          <w:szCs w:val="32"/>
          <w:highlight w:val="none"/>
        </w:rPr>
        <w:t>（三）一般公共预算财政拨款支出决算具体情况</w:t>
      </w:r>
      <w:bookmarkEnd w:id="91"/>
      <w:bookmarkEnd w:id="92"/>
      <w:bookmarkEnd w:id="93"/>
      <w:bookmarkEnd w:id="94"/>
      <w:bookmarkEnd w:id="95"/>
      <w:bookmarkEnd w:id="96"/>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2024年度一般公共预算财政拨款支出年初预算为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bCs/>
          <w:sz w:val="32"/>
          <w:szCs w:val="32"/>
          <w:highlight w:val="none"/>
        </w:rPr>
        <w:t>1.一般公共服务（类）发展与改革事务（款）其他发展与改革事务支出（项）。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37.35</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商贸事务（款）行政运行（项）。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31.93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3</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商贸事务（款）一般行政管理事务（项）。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32.54</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商贸事务（款）其他商贸事务支出（项）。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万元，支出决算为458.61万元，完成年初预算的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5</w:t>
      </w:r>
      <w:r>
        <w:rPr>
          <w:rFonts w:hint="default" w:ascii="Times New Roman" w:hAnsi="Times New Roman" w:eastAsia="仿宋_GB2312" w:cs="Times New Roman"/>
          <w:b/>
          <w:bCs/>
          <w:sz w:val="32"/>
          <w:szCs w:val="32"/>
          <w:highlight w:val="none"/>
        </w:rPr>
        <w:t>.社会保障和就业支出（类）</w:t>
      </w:r>
      <w:r>
        <w:rPr>
          <w:rFonts w:hint="default" w:ascii="Times New Roman" w:hAnsi="Times New Roman" w:eastAsia="仿宋_GB2312" w:cs="Times New Roman"/>
          <w:b/>
          <w:bCs/>
          <w:sz w:val="32"/>
          <w:szCs w:val="32"/>
          <w:lang w:val="en-US" w:eastAsia="zh-CN"/>
        </w:rPr>
        <w:t>行政事业单位养老支出（款）机关事业单位基本养老保险缴费支出（项）。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4.80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6</w:t>
      </w:r>
      <w:r>
        <w:rPr>
          <w:rFonts w:hint="default" w:ascii="Times New Roman" w:hAnsi="Times New Roman" w:eastAsia="仿宋_GB2312" w:cs="Times New Roman"/>
          <w:b/>
          <w:bCs/>
          <w:sz w:val="32"/>
          <w:szCs w:val="32"/>
          <w:highlight w:val="none"/>
        </w:rPr>
        <w:t>.社会保障和就业支出（类）</w:t>
      </w:r>
      <w:r>
        <w:rPr>
          <w:rFonts w:hint="default" w:ascii="Times New Roman" w:hAnsi="Times New Roman" w:eastAsia="仿宋_GB2312" w:cs="Times New Roman"/>
          <w:b/>
          <w:bCs/>
          <w:sz w:val="32"/>
          <w:szCs w:val="32"/>
          <w:lang w:val="en-US" w:eastAsia="zh-CN"/>
        </w:rPr>
        <w:t>行政事业单位养老支出（款）机关事业单位职业年金缴费支出（项）。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5.33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7</w:t>
      </w:r>
      <w:r>
        <w:rPr>
          <w:rFonts w:hint="default" w:ascii="Times New Roman" w:hAnsi="Times New Roman" w:eastAsia="仿宋_GB2312" w:cs="Times New Roman"/>
          <w:b/>
          <w:bCs/>
          <w:sz w:val="32"/>
          <w:szCs w:val="32"/>
          <w:highlight w:val="none"/>
        </w:rPr>
        <w:t>.卫生健康支出（类）</w:t>
      </w:r>
      <w:r>
        <w:rPr>
          <w:rFonts w:hint="default" w:ascii="Times New Roman" w:hAnsi="Times New Roman" w:eastAsia="仿宋_GB2312" w:cs="Times New Roman"/>
          <w:b/>
          <w:bCs/>
          <w:sz w:val="32"/>
          <w:szCs w:val="32"/>
          <w:lang w:val="en-US" w:eastAsia="zh-CN"/>
        </w:rPr>
        <w:t>行政事业单位医疗（款）行政单位医疗（项）。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1.69</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8</w:t>
      </w:r>
      <w:r>
        <w:rPr>
          <w:rFonts w:hint="default" w:ascii="Times New Roman" w:hAnsi="Times New Roman" w:eastAsia="仿宋_GB2312" w:cs="Times New Roman"/>
          <w:b/>
          <w:bCs/>
          <w:sz w:val="32"/>
          <w:szCs w:val="32"/>
          <w:highlight w:val="none"/>
        </w:rPr>
        <w:t>.卫生健康支出（类）</w:t>
      </w:r>
      <w:r>
        <w:rPr>
          <w:rFonts w:hint="default" w:ascii="Times New Roman" w:hAnsi="Times New Roman" w:eastAsia="仿宋_GB2312" w:cs="Times New Roman"/>
          <w:b/>
          <w:bCs/>
          <w:sz w:val="32"/>
          <w:szCs w:val="32"/>
          <w:lang w:val="en-US" w:eastAsia="zh-CN"/>
        </w:rPr>
        <w:t>行政事业单位医疗（款）公务员医疗补助（项）。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3.45</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9</w:t>
      </w:r>
      <w:r>
        <w:rPr>
          <w:rFonts w:hint="default" w:ascii="Times New Roman" w:hAnsi="Times New Roman" w:eastAsia="仿宋_GB2312" w:cs="Times New Roman"/>
          <w:b/>
          <w:bCs/>
          <w:sz w:val="32"/>
          <w:szCs w:val="32"/>
          <w:highlight w:val="none"/>
        </w:rPr>
        <w:t>.住房保障支出（类）</w:t>
      </w:r>
      <w:r>
        <w:rPr>
          <w:rFonts w:hint="default" w:ascii="Times New Roman" w:hAnsi="Times New Roman" w:eastAsia="仿宋_GB2312" w:cs="Times New Roman"/>
          <w:b/>
          <w:bCs/>
          <w:sz w:val="32"/>
          <w:szCs w:val="32"/>
          <w:lang w:val="en-US" w:eastAsia="zh-CN"/>
        </w:rPr>
        <w:t>住房改革支出（款）住房公积金（项）。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3.83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highlight w:val="none"/>
        </w:rPr>
      </w:pPr>
      <w:r>
        <w:rPr>
          <w:rFonts w:hint="eastAsia" w:ascii="黑体" w:hAnsi="黑体" w:eastAsia="黑体" w:cs="黑体"/>
          <w:bCs/>
          <w:sz w:val="32"/>
          <w:szCs w:val="32"/>
          <w:highlight w:val="none"/>
        </w:rPr>
        <w:t>六、一般公共预算财政拨款基本支出决算情况说明</w:t>
      </w:r>
    </w:p>
    <w:p>
      <w:pPr>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2024年度财政拨款基本支出</w:t>
      </w:r>
      <w:r>
        <w:rPr>
          <w:rFonts w:hint="default" w:ascii="Times New Roman" w:hAnsi="Times New Roman" w:eastAsia="仿宋_GB2312" w:cs="Times New Roman"/>
          <w:sz w:val="32"/>
          <w:szCs w:val="32"/>
          <w:highlight w:val="none"/>
          <w:lang w:val="en-US"/>
        </w:rPr>
        <w:t>51.04</w:t>
      </w:r>
      <w:r>
        <w:rPr>
          <w:rFonts w:hint="default" w:ascii="Times New Roman" w:hAnsi="Times New Roman" w:eastAsia="仿宋_GB2312" w:cs="Times New Roman"/>
          <w:sz w:val="32"/>
          <w:szCs w:val="32"/>
          <w:highlight w:val="none"/>
        </w:rPr>
        <w:t>万元，其中：人员经费</w:t>
      </w:r>
      <w:r>
        <w:rPr>
          <w:rFonts w:hint="default" w:ascii="Times New Roman" w:hAnsi="Times New Roman" w:eastAsia="仿宋_GB2312" w:cs="Times New Roman"/>
          <w:sz w:val="32"/>
          <w:szCs w:val="32"/>
          <w:highlight w:val="none"/>
          <w:lang w:val="en-US"/>
        </w:rPr>
        <w:t>48.61</w:t>
      </w:r>
      <w:r>
        <w:rPr>
          <w:rFonts w:hint="default" w:ascii="Times New Roman" w:hAnsi="Times New Roman" w:eastAsia="仿宋_GB2312" w:cs="Times New Roman"/>
          <w:sz w:val="32"/>
          <w:szCs w:val="32"/>
          <w:highlight w:val="none"/>
        </w:rPr>
        <w:t>万元，主要包括：工资福利支出中的基本工资、津贴补贴、奖金、机关事业单位基本养老保险缴费、职业年金缴费、职工基本医疗保险缴费、公务员医疗补助缴费、其他社会保障缴费、住房公积金、医疗费。公用经费</w:t>
      </w:r>
      <w:r>
        <w:rPr>
          <w:rFonts w:hint="default" w:ascii="Times New Roman" w:hAnsi="Times New Roman" w:eastAsia="仿宋_GB2312" w:cs="Times New Roman"/>
          <w:sz w:val="32"/>
          <w:szCs w:val="32"/>
          <w:highlight w:val="none"/>
          <w:lang w:val="en-US" w:eastAsia="zh-CN"/>
        </w:rPr>
        <w:t>2.43</w:t>
      </w:r>
      <w:r>
        <w:rPr>
          <w:rFonts w:hint="default" w:ascii="Times New Roman" w:hAnsi="Times New Roman" w:eastAsia="仿宋_GB2312" w:cs="Times New Roman"/>
          <w:sz w:val="32"/>
          <w:szCs w:val="32"/>
          <w:highlight w:val="none"/>
        </w:rPr>
        <w:t>万元，主要包括：</w:t>
      </w:r>
      <w:r>
        <w:rPr>
          <w:rFonts w:hint="default" w:ascii="Times New Roman" w:hAnsi="Times New Roman" w:eastAsia="仿宋_GB2312" w:cs="Times New Roman"/>
          <w:sz w:val="32"/>
          <w:szCs w:val="32"/>
          <w:highlight w:val="none"/>
          <w:lang w:eastAsia="zh-CN"/>
        </w:rPr>
        <w:t>办公费、</w:t>
      </w:r>
      <w:r>
        <w:rPr>
          <w:rFonts w:hint="default" w:ascii="Times New Roman" w:hAnsi="Times New Roman" w:eastAsia="仿宋_GB2312" w:cs="Times New Roman"/>
          <w:sz w:val="32"/>
          <w:szCs w:val="32"/>
          <w:highlight w:val="none"/>
        </w:rPr>
        <w:t>邮电费、差旅费、其他交通费用。</w:t>
      </w:r>
    </w:p>
    <w:p>
      <w:pPr>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七、政府性基金预算财政拨款支出决算情况说明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（一）政府性基金预算财政拨款支出决算总体情况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万元，占本年支出合计的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%。与2023年度相比，政府性基金预算财政拨款支出增加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政府性基金预算财政拨款支出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highlight w:val="none"/>
        </w:rPr>
      </w:pPr>
      <w:r>
        <w:rPr>
          <w:rFonts w:hint="eastAsia" w:ascii="楷体_GB2312" w:hAnsi="楷体_GB2312" w:eastAsia="楷体_GB2312" w:cs="楷体_GB2312"/>
          <w:sz w:val="32"/>
          <w:szCs w:val="32"/>
          <w:highlight w:val="none"/>
        </w:rPr>
        <w:t>（二）政府性基金预算财政拨款支出决算结构情况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（三）政府性基金预算财政拨款支出决算具体情况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八、国有资本经营预算财政拨款支出决算情况说明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（一）国有资本经营预算财政拨款支出决算总体情况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2024年度国有资本经营预算财政拨款支出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万元，占本年支出合计的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%。与2023年度相比，国有资本经营预算财政拨款支出增加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国有资本经营预算财政拨款支出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（二）国有资本经营预算财政拨款支出决算结构情况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2024年度国有资本经营预算财政拨款支出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（三）国有资本经营预算财政拨款支出决算具体情况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2024年度国有资本经营预算财政拨款支出年初预算为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highlight w:val="none"/>
        </w:rPr>
      </w:pPr>
      <w:r>
        <w:rPr>
          <w:rFonts w:hint="eastAsia" w:ascii="黑体" w:hAnsi="黑体" w:eastAsia="黑体" w:cs="黑体"/>
          <w:bCs/>
          <w:sz w:val="32"/>
          <w:szCs w:val="32"/>
          <w:highlight w:val="none"/>
        </w:rPr>
        <w:t>九、财政拨款“三公”经费支出决算情况说明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（一）财政拨款“三公”经费支出决算总体情况说明</w:t>
      </w:r>
    </w:p>
    <w:p>
      <w:pPr>
        <w:pageBreakBefore w:val="0"/>
        <w:widowControl w:val="0"/>
        <w:kinsoku/>
        <w:wordWrap/>
        <w:overflowPunct/>
        <w:topLinePunct w:val="0"/>
        <w:autoSpaceDE/>
        <w:autoSpaceDN/>
        <w:bidi w:val="0"/>
        <w:adjustRightInd/>
        <w:snapToGrid/>
        <w:spacing w:line="578" w:lineRule="exact"/>
        <w:textAlignment w:val="auto"/>
        <w:rPr>
          <w:rFonts w:hint="eastAsia" w:ascii="仿宋" w:hAnsi="仿宋" w:eastAsia="仿宋" w:cs="仿宋"/>
          <w:sz w:val="32"/>
          <w:szCs w:val="32"/>
          <w:highlight w:val="none"/>
        </w:rPr>
      </w:pPr>
      <w:r>
        <w:rPr>
          <w:rFonts w:hint="eastAsia" w:ascii="仿宋_GB2312" w:hAnsi="ˎ̥" w:eastAsia="仿宋_GB2312"/>
          <w:sz w:val="32"/>
          <w:szCs w:val="32"/>
          <w:highlight w:val="none"/>
        </w:rPr>
        <w:t xml:space="preserve">   </w:t>
      </w:r>
      <w:r>
        <w:rPr>
          <w:rFonts w:hint="eastAsia" w:ascii="仿宋" w:hAnsi="仿宋" w:eastAsia="仿宋" w:cs="仿宋"/>
          <w:sz w:val="32"/>
          <w:szCs w:val="32"/>
          <w:highlight w:val="none"/>
        </w:rPr>
        <w:t xml:space="preserve"> </w:t>
      </w:r>
      <w:r>
        <w:rPr>
          <w:rFonts w:hint="default" w:ascii="Times New Roman" w:hAnsi="Times New Roman" w:eastAsia="仿宋_GB2312" w:cs="Times New Roman"/>
          <w:sz w:val="32"/>
          <w:szCs w:val="32"/>
          <w:highlight w:val="none"/>
        </w:rPr>
        <w:t>2024年度财政拨款“三公”经费支出预算为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%，与2023年度相比，“三公”经费支出增加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2024年机构改革，我局于2024年5月27日成立，所以上年度没有发生与本年度相关的财政拨款“三公”经费支出决算数据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eastAsia" w:ascii="楷体_GB2312" w:hAnsi="楷体_GB2312" w:eastAsia="楷体_GB2312" w:cs="楷体_GB2312"/>
          <w:sz w:val="32"/>
          <w:szCs w:val="32"/>
          <w:highlight w:val="none"/>
        </w:rPr>
      </w:pPr>
      <w:r>
        <w:rPr>
          <w:rFonts w:hint="eastAsia" w:ascii="楷体" w:hAnsi="楷体" w:eastAsia="楷体" w:cs="楷体"/>
          <w:b/>
          <w:bCs/>
          <w:sz w:val="32"/>
          <w:szCs w:val="32"/>
          <w:highlight w:val="none"/>
        </w:rPr>
        <w:t xml:space="preserve">   </w:t>
      </w:r>
      <w:r>
        <w:rPr>
          <w:rFonts w:hint="eastAsia" w:ascii="楷体" w:hAnsi="楷体" w:eastAsia="楷体" w:cs="楷体"/>
          <w:sz w:val="32"/>
          <w:szCs w:val="32"/>
          <w:highlight w:val="none"/>
        </w:rPr>
        <w:t xml:space="preserve"> </w:t>
      </w:r>
      <w:r>
        <w:rPr>
          <w:rFonts w:hint="eastAsia" w:ascii="楷体_GB2312" w:hAnsi="楷体_GB2312" w:eastAsia="楷体_GB2312" w:cs="楷体_GB2312"/>
          <w:sz w:val="32"/>
          <w:szCs w:val="32"/>
          <w:highlight w:val="none"/>
        </w:rPr>
        <w:t>（二）财政拨款“三公”经费支出决算具体情况说明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2024年度财政拨款“三公”经费支出决算中，因公出国（境）费支出决算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%；公务用车购置及运行维护费支出决算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%；公务接待费支出决算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%。具体情况如下：</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1.因公出国（境）费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万元。全年安排因公出国（境）团组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个，因公出国（境）</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因公出国（境）费支出决算</w:t>
      </w:r>
      <w:r>
        <w:rPr>
          <w:rFonts w:hint="default" w:ascii="Times New Roman" w:hAnsi="Times New Roman" w:eastAsia="仿宋_GB2312" w:cs="Times New Roman"/>
          <w:sz w:val="32"/>
          <w:szCs w:val="32"/>
          <w:highlight w:val="none"/>
          <w:lang w:eastAsia="zh-CN"/>
        </w:rPr>
        <w:t>数</w:t>
      </w:r>
      <w:r>
        <w:rPr>
          <w:rFonts w:hint="default" w:ascii="Times New Roman" w:hAnsi="Times New Roman" w:eastAsia="仿宋_GB2312" w:cs="Times New Roman"/>
          <w:sz w:val="32"/>
          <w:szCs w:val="32"/>
          <w:highlight w:val="none"/>
        </w:rPr>
        <w:t>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%。与2023年度相比，因公出国（境）费支出增加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2024年机构改革，我局于2024年5月27日成立，所以上年度没有发生与本年度相关的因公出国（境）费支出决算数据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 xml:space="preserve">    2.公务用车购置及运行维护费</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公务用车购置</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万元，全年购置公务用车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辆，年末公务用车保有量</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公务用车运行维护费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rPr>
        <w:t>公务用车购置及运行维护费支出决算数</w:t>
      </w:r>
      <w:r>
        <w:rPr>
          <w:rFonts w:hint="default" w:ascii="Times New Roman" w:hAnsi="Times New Roman" w:eastAsia="仿宋_GB2312" w:cs="Times New Roman"/>
          <w:sz w:val="32"/>
          <w:szCs w:val="32"/>
          <w:highlight w:val="none"/>
        </w:rPr>
        <w:t>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w:t>
      </w:r>
      <w:r>
        <w:rPr>
          <w:rFonts w:hint="default" w:ascii="Times New Roman" w:hAnsi="Times New Roman" w:eastAsia="仿宋_GB2312" w:cs="Times New Roman"/>
          <w:bCs/>
          <w:sz w:val="32"/>
          <w:szCs w:val="32"/>
          <w:highlight w:val="none"/>
        </w:rPr>
        <w:t>公务用车购置及运行维护费</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2024年机构改革，我局于2024年5月27日成立，所以上年度没有发生与本年度相关的公务用车购置及运行维护费支出决算数据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 xml:space="preserve">    3.公务接待费</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国内接待费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万元，国内公务接待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批次，接待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国（境）外接待费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万元，国（境）外公务接待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批次，接待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公务接待费支出决算数比预算数增加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w:t>
      </w:r>
      <w:r>
        <w:rPr>
          <w:rFonts w:hint="default" w:ascii="Times New Roman" w:hAnsi="Times New Roman" w:eastAsia="仿宋_GB2312" w:cs="Times New Roman"/>
          <w:bCs/>
          <w:sz w:val="32"/>
          <w:szCs w:val="32"/>
          <w:highlight w:val="none"/>
        </w:rPr>
        <w:t>公务接待费</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2024年机构改革，我局于2024年5月27日成立，所以上年度没有发生与本年度相关的公务接待费支出决算数据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十、预算绩效情况说明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（一）</w:t>
      </w:r>
      <w:r>
        <w:rPr>
          <w:rFonts w:hint="eastAsia" w:ascii="楷体_GB2312" w:hAnsi="楷体_GB2312" w:eastAsia="楷体_GB2312" w:cs="楷体_GB2312"/>
          <w:bCs/>
          <w:sz w:val="32"/>
          <w:szCs w:val="32"/>
          <w:highlight w:val="none"/>
        </w:rPr>
        <w:t>绩效管理工作开展情况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根据预算管理要求，我部门组织对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年度一般公共预算项目支出全面开展绩效自评</w:t>
      </w:r>
      <w:r>
        <w:rPr>
          <w:rFonts w:hint="default" w:ascii="Times New Roman" w:hAnsi="Times New Roman" w:eastAsia="仿宋_GB2312" w:cs="Times New Roman"/>
          <w:sz w:val="32"/>
          <w:szCs w:val="32"/>
          <w:highlight w:val="none"/>
          <w:lang w:val="en-US"/>
        </w:rPr>
        <w:t>,</w:t>
      </w:r>
      <w:r>
        <w:rPr>
          <w:rFonts w:hint="default" w:ascii="Times New Roman" w:hAnsi="Times New Roman" w:eastAsia="仿宋_GB2312" w:cs="Times New Roman"/>
          <w:sz w:val="32"/>
          <w:szCs w:val="32"/>
          <w:highlight w:val="none"/>
          <w:lang w:val="en-US" w:eastAsia="zh-CN"/>
        </w:rPr>
        <w:t>共涉及资金0万元，占一般公共预算项目支出总额的0%</w:t>
      </w:r>
      <w:r>
        <w:rPr>
          <w:rFonts w:hint="default" w:ascii="Times New Roman" w:hAnsi="Times New Roman" w:eastAsia="仿宋_GB2312" w:cs="Times New Roman"/>
          <w:sz w:val="32"/>
          <w:szCs w:val="32"/>
          <w:highlight w:val="none"/>
        </w:rPr>
        <w:t>。组织对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个政府性基金预算项目开展绩效自评，共涉及资金</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万元，占政府性基金预算项目支出总额的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 xml:space="preserve">个国有资本经营预算项目开展绩效自评，共涉及资金 </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万元，占国有资本经营预算项目支出总额的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共组织对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个项目开展了部门评价，涉及一般公共预算支出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万元，政府性基金预算支出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万元，国有资本经营预算支出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万元。从评价情况来看，</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（二）</w:t>
      </w:r>
      <w:r>
        <w:rPr>
          <w:rFonts w:hint="eastAsia" w:ascii="楷体_GB2312" w:hAnsi="楷体_GB2312" w:eastAsia="楷体_GB2312" w:cs="楷体_GB2312"/>
          <w:bCs/>
          <w:sz w:val="32"/>
          <w:szCs w:val="32"/>
          <w:highlight w:val="none"/>
        </w:rPr>
        <w:t>部门决算中项目绩效自评结果</w:t>
      </w:r>
    </w:p>
    <w:p>
      <w:pPr>
        <w:pageBreakBefore w:val="0"/>
        <w:widowControl w:val="0"/>
        <w:numPr>
          <w:ilvl w:val="0"/>
          <w:numId w:val="0"/>
        </w:numPr>
        <w:kinsoku/>
        <w:wordWrap/>
        <w:overflowPunct/>
        <w:topLinePunct w:val="0"/>
        <w:autoSpaceDE/>
        <w:autoSpaceDN/>
        <w:bidi w:val="0"/>
        <w:adjustRightInd/>
        <w:snapToGrid/>
        <w:spacing w:line="578" w:lineRule="exact"/>
        <w:ind w:leftChars="200"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我部门在部门决算中反映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个项目绩效自评结果（包括项</w:t>
      </w:r>
    </w:p>
    <w:p>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目绩效自评表和项目绩效自评报告）。</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rPr>
        <w:t>项目绩效自评报告：根据年初设定的绩效目标，项目绩效自评得分为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分。全年预算数为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万元，执行数为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%。项目绩效目标</w:t>
      </w:r>
      <w:r>
        <w:rPr>
          <w:rFonts w:hint="default" w:ascii="Times New Roman" w:hAnsi="Times New Roman" w:eastAsia="仿宋_GB2312" w:cs="Times New Roman"/>
          <w:sz w:val="32"/>
          <w:szCs w:val="32"/>
          <w:highlight w:val="none"/>
          <w:lang w:eastAsia="zh-CN"/>
        </w:rPr>
        <w:t>未</w:t>
      </w:r>
      <w:r>
        <w:rPr>
          <w:rFonts w:hint="default" w:ascii="Times New Roman" w:hAnsi="Times New Roman" w:eastAsia="仿宋_GB2312" w:cs="Times New Roman"/>
          <w:sz w:val="32"/>
          <w:szCs w:val="32"/>
          <w:highlight w:val="none"/>
        </w:rPr>
        <w:t>完成情况</w:t>
      </w:r>
      <w:r>
        <w:rPr>
          <w:rFonts w:hint="default" w:ascii="Times New Roman" w:hAnsi="Times New Roman" w:eastAsia="仿宋_GB2312" w:cs="Times New Roman"/>
          <w:sz w:val="32"/>
          <w:szCs w:val="32"/>
          <w:highlight w:val="none"/>
          <w:lang w:eastAsia="zh-CN"/>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2024年机构改革，我局于2024年5月27日成立，所以本年度没有发生相关的年初预算部门决算数据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（三）</w:t>
      </w:r>
      <w:r>
        <w:rPr>
          <w:rFonts w:hint="eastAsia" w:ascii="楷体_GB2312" w:hAnsi="楷体_GB2312" w:eastAsia="楷体_GB2312" w:cs="楷体_GB2312"/>
          <w:bCs/>
          <w:sz w:val="32"/>
          <w:szCs w:val="32"/>
          <w:highlight w:val="none"/>
        </w:rPr>
        <w:t>部门评价结果</w:t>
      </w: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eastAsia="zh-CN" w:bidi="ar"/>
        </w:rPr>
        <w:t>无此项内容</w:t>
      </w:r>
      <w:r>
        <w:rPr>
          <w:rFonts w:hint="eastAsia" w:ascii="仿宋_GB2312" w:hAnsi="仿宋_GB2312" w:eastAsia="仿宋_GB2312" w:cs="仿宋_GB2312"/>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（四）财政评价结果</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lang w:eastAsia="zh-CN"/>
        </w:rPr>
        <w:t>无此项内容</w:t>
      </w:r>
      <w:r>
        <w:rPr>
          <w:rFonts w:hint="eastAsia" w:ascii="仿宋_GB2312" w:hAnsi="仿宋_GB2312" w:eastAsia="仿宋_GB2312" w:cs="仿宋_GB2312"/>
          <w:sz w:val="32"/>
          <w:szCs w:val="32"/>
          <w:highlight w:val="none"/>
          <w:lang w:val="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十一、其他重要事项情况说明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bookmarkStart w:id="97" w:name="_Toc18325_WPSOffice_Level2"/>
      <w:bookmarkStart w:id="98" w:name="_Toc32639_WPSOffice_Level2"/>
      <w:bookmarkStart w:id="99" w:name="_Toc15262_WPSOffice_Level2"/>
      <w:bookmarkStart w:id="100" w:name="_Toc15565_WPSOffice_Level2"/>
      <w:bookmarkStart w:id="101" w:name="_Toc23598_WPSOffice_Level2"/>
      <w:bookmarkStart w:id="102" w:name="_Toc5978_WPSOffice_Level2"/>
      <w:r>
        <w:rPr>
          <w:rFonts w:hint="eastAsia" w:ascii="楷体_GB2312" w:hAnsi="楷体_GB2312" w:eastAsia="楷体_GB2312" w:cs="楷体_GB2312"/>
          <w:bCs/>
          <w:sz w:val="32"/>
          <w:szCs w:val="32"/>
          <w:highlight w:val="none"/>
        </w:rPr>
        <w:t>（一）机关运行经费支出情况</w:t>
      </w:r>
      <w:bookmarkEnd w:id="97"/>
      <w:bookmarkEnd w:id="98"/>
      <w:bookmarkEnd w:id="99"/>
      <w:bookmarkEnd w:id="100"/>
      <w:bookmarkEnd w:id="101"/>
      <w:bookmarkEnd w:id="102"/>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w:t>
      </w:r>
      <w:r>
        <w:rPr>
          <w:rFonts w:hint="default" w:ascii="Times New Roman" w:hAnsi="Times New Roman" w:eastAsia="仿宋_GB2312" w:cs="Times New Roman"/>
          <w:sz w:val="32"/>
          <w:szCs w:val="32"/>
          <w:highlight w:val="none"/>
          <w:lang w:eastAsia="zh-CN"/>
        </w:rPr>
        <w:t>三亚市天涯区商务局</w:t>
      </w:r>
      <w:r>
        <w:rPr>
          <w:rFonts w:hint="default" w:ascii="Times New Roman" w:hAnsi="Times New Roman" w:eastAsia="仿宋_GB2312" w:cs="Times New Roman"/>
          <w:sz w:val="32"/>
          <w:szCs w:val="32"/>
          <w:highlight w:val="none"/>
        </w:rPr>
        <w:t>部门机关运行经费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万元，比年初预算增加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与202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年度相比，</w:t>
      </w:r>
      <w:r>
        <w:rPr>
          <w:rFonts w:hint="default" w:ascii="Times New Roman" w:hAnsi="Times New Roman" w:eastAsia="仿宋_GB2312" w:cs="Times New Roman"/>
          <w:sz w:val="32"/>
          <w:szCs w:val="32"/>
          <w:highlight w:val="none"/>
        </w:rPr>
        <w:t>机关运行经费</w:t>
      </w:r>
      <w:r>
        <w:rPr>
          <w:rFonts w:hint="default" w:ascii="Times New Roman" w:hAnsi="Times New Roman" w:eastAsia="仿宋_GB2312" w:cs="Times New Roman"/>
          <w:sz w:val="32"/>
          <w:szCs w:val="32"/>
          <w:highlight w:val="none"/>
          <w:lang w:eastAsia="zh-CN"/>
        </w:rPr>
        <w:t>增加</w:t>
      </w:r>
      <w:bookmarkStart w:id="121" w:name="_GoBack"/>
      <w:bookmarkEnd w:id="121"/>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eastAsia="zh-CN"/>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2024年机构改革，我局于2024年5月27日成立，所以本年度没有发生相关的机关运行经费支出决算数据</w:t>
      </w:r>
      <w:r>
        <w:rPr>
          <w:rFonts w:hint="default" w:ascii="Times New Roman" w:hAnsi="Times New Roman" w:eastAsia="仿宋_GB2312" w:cs="Times New Roman"/>
          <w:sz w:val="32"/>
          <w:szCs w:val="32"/>
          <w:highlight w:val="none"/>
        </w:rPr>
        <w:t>。</w:t>
      </w:r>
    </w:p>
    <w:p>
      <w:pPr>
        <w:pageBreakBefore w:val="0"/>
        <w:widowControl w:val="0"/>
        <w:numPr>
          <w:ilvl w:val="0"/>
          <w:numId w:val="2"/>
        </w:numPr>
        <w:kinsoku/>
        <w:wordWrap/>
        <w:overflowPunct/>
        <w:topLinePunct w:val="0"/>
        <w:autoSpaceDE/>
        <w:autoSpaceDN/>
        <w:bidi w:val="0"/>
        <w:adjustRightInd/>
        <w:snapToGrid/>
        <w:spacing w:line="578" w:lineRule="exact"/>
        <w:ind w:left="-10" w:leftChars="0" w:firstLine="640" w:firstLineChars="0"/>
        <w:textAlignment w:val="auto"/>
        <w:rPr>
          <w:rFonts w:hint="eastAsia" w:ascii="楷体_GB2312" w:hAnsi="楷体_GB2312" w:eastAsia="楷体_GB2312" w:cs="楷体_GB2312"/>
          <w:bCs/>
          <w:sz w:val="32"/>
          <w:szCs w:val="32"/>
          <w:highlight w:val="none"/>
        </w:rPr>
      </w:pPr>
      <w:bookmarkStart w:id="103" w:name="_Toc13084_WPSOffice_Level2"/>
      <w:bookmarkStart w:id="104" w:name="_Toc23966_WPSOffice_Level2"/>
      <w:bookmarkStart w:id="105" w:name="_Toc3131_WPSOffice_Level2"/>
      <w:bookmarkStart w:id="106" w:name="_Toc25333_WPSOffice_Level2"/>
      <w:bookmarkStart w:id="107" w:name="_Toc30383_WPSOffice_Level2"/>
      <w:bookmarkStart w:id="108" w:name="_Toc32689_WPSOffice_Level2"/>
      <w:r>
        <w:rPr>
          <w:rFonts w:hint="eastAsia" w:ascii="楷体_GB2312" w:hAnsi="楷体_GB2312" w:eastAsia="楷体_GB2312" w:cs="楷体_GB2312"/>
          <w:bCs/>
          <w:sz w:val="32"/>
          <w:szCs w:val="32"/>
          <w:highlight w:val="none"/>
        </w:rPr>
        <w:t>政府采购支出情况</w:t>
      </w:r>
      <w:bookmarkEnd w:id="103"/>
      <w:bookmarkEnd w:id="104"/>
      <w:bookmarkEnd w:id="105"/>
      <w:bookmarkEnd w:id="106"/>
      <w:bookmarkEnd w:id="107"/>
      <w:bookmarkEnd w:id="108"/>
    </w:p>
    <w:p>
      <w:pPr>
        <w:pageBreakBefore w:val="0"/>
        <w:widowControl w:val="0"/>
        <w:numPr>
          <w:ilvl w:val="0"/>
          <w:numId w:val="0"/>
        </w:numPr>
        <w:kinsoku/>
        <w:wordWrap/>
        <w:overflowPunct/>
        <w:topLinePunct w:val="0"/>
        <w:autoSpaceDE/>
        <w:autoSpaceDN/>
        <w:bidi w:val="0"/>
        <w:adjustRightInd/>
        <w:snapToGrid/>
        <w:spacing w:line="578" w:lineRule="exact"/>
        <w:ind w:left="63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w:t>
      </w:r>
      <w:r>
        <w:rPr>
          <w:rFonts w:hint="default" w:ascii="Times New Roman" w:hAnsi="Times New Roman" w:eastAsia="仿宋_GB2312" w:cs="Times New Roman"/>
          <w:sz w:val="32"/>
          <w:szCs w:val="32"/>
          <w:highlight w:val="none"/>
          <w:lang w:eastAsia="zh-CN"/>
        </w:rPr>
        <w:t>三亚市天涯区商务局</w:t>
      </w:r>
      <w:r>
        <w:rPr>
          <w:rFonts w:hint="default" w:ascii="Times New Roman" w:hAnsi="Times New Roman" w:eastAsia="仿宋_GB2312" w:cs="Times New Roman"/>
          <w:sz w:val="32"/>
          <w:szCs w:val="32"/>
          <w:highlight w:val="none"/>
        </w:rPr>
        <w:t>部门政府采购支出总额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w:t>
      </w:r>
    </w:p>
    <w:p>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元，其中：政府采购货物支出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万元、政府采购工程支出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万元、政府采购服务支出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万元。授予中小企业合同金额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万元，占政府采购支出总额的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%，其中：授予小微企业合同金额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kern w:val="0"/>
          <w:sz w:val="32"/>
          <w:szCs w:val="32"/>
          <w:highlight w:val="none"/>
          <w:lang w:bidi="ar"/>
        </w:rPr>
        <w:t>授予中小企业合同金额</w:t>
      </w:r>
      <w:r>
        <w:rPr>
          <w:rFonts w:hint="default" w:ascii="Times New Roman" w:hAnsi="Times New Roman" w:eastAsia="仿宋_GB2312" w:cs="Times New Roman"/>
          <w:sz w:val="32"/>
          <w:szCs w:val="32"/>
          <w:highlight w:val="none"/>
        </w:rPr>
        <w:t>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bookmarkStart w:id="109" w:name="_Toc6016_WPSOffice_Level2"/>
      <w:bookmarkStart w:id="110" w:name="_Toc15129_WPSOffice_Level2"/>
      <w:bookmarkStart w:id="111" w:name="_Toc10902_WPSOffice_Level2"/>
      <w:bookmarkStart w:id="112" w:name="_Toc19989_WPSOffice_Level2"/>
      <w:bookmarkStart w:id="113" w:name="_Toc527_WPSOffice_Level2"/>
      <w:bookmarkStart w:id="114" w:name="_Toc29584_WPSOffice_Level2"/>
      <w:r>
        <w:rPr>
          <w:rFonts w:hint="eastAsia" w:ascii="楷体_GB2312" w:hAnsi="楷体_GB2312" w:eastAsia="楷体_GB2312" w:cs="楷体_GB2312"/>
          <w:bCs/>
          <w:sz w:val="32"/>
          <w:szCs w:val="32"/>
          <w:highlight w:val="none"/>
        </w:rPr>
        <w:t>（三）国有资产占用情况</w:t>
      </w:r>
      <w:bookmarkEnd w:id="109"/>
      <w:bookmarkEnd w:id="110"/>
      <w:bookmarkEnd w:id="111"/>
      <w:bookmarkEnd w:id="112"/>
      <w:bookmarkEnd w:id="113"/>
      <w:bookmarkEnd w:id="114"/>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sz w:val="32"/>
          <w:szCs w:val="32"/>
          <w:highlight w:val="none"/>
        </w:rPr>
        <w:t>截至2024年12月31日，本部门拥有</w:t>
      </w:r>
      <w:r>
        <w:rPr>
          <w:rFonts w:hint="default" w:ascii="Times New Roman" w:hAnsi="Times New Roman" w:eastAsia="仿宋_GB2312" w:cs="Times New Roman"/>
          <w:sz w:val="32"/>
          <w:szCs w:val="32"/>
          <w:highlight w:val="none"/>
        </w:rPr>
        <w:t>房屋面积</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平方米。</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本部门共有车辆</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辆，其中，副部（省）级及以上领导用车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辆、主要负责人用车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辆、机要通信用车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辆、应急保障用车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辆、执法执勤用车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辆、特种专业技术用车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辆、离退休干部服务用车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辆、其他用车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单价100万元（含）以上设备（不含车辆）</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台（套）。</w:t>
      </w:r>
      <w:bookmarkStart w:id="115" w:name="_Toc8874_WPSOffice_Level1"/>
      <w:bookmarkStart w:id="116" w:name="_Toc4398_WPSOffice_Level1"/>
      <w:bookmarkStart w:id="117" w:name="_Toc17580_WPSOffice_Level1"/>
      <w:bookmarkStart w:id="118" w:name="_Toc15425_WPSOffice_Level1"/>
      <w:bookmarkStart w:id="119" w:name="_Toc8808_WPSOffice_Level1"/>
      <w:bookmarkStart w:id="120" w:name="_Toc11039_WPSOffice_Level1"/>
    </w:p>
    <w:p>
      <w:pPr>
        <w:pStyle w:val="2"/>
        <w:rPr>
          <w:rFonts w:hint="eastAsia"/>
        </w:rPr>
      </w:pP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r>
        <w:rPr>
          <w:rFonts w:hint="eastAsia" w:ascii="黑体" w:hAnsi="ˎ̥" w:eastAsia="黑体"/>
          <w:sz w:val="32"/>
          <w:szCs w:val="32"/>
          <w:highlight w:val="none"/>
        </w:rPr>
        <w:t>第四部分  名词解释</w:t>
      </w:r>
      <w:bookmarkEnd w:id="115"/>
      <w:bookmarkEnd w:id="116"/>
      <w:bookmarkEnd w:id="117"/>
      <w:bookmarkEnd w:id="118"/>
      <w:bookmarkEnd w:id="119"/>
      <w:bookmarkEnd w:id="120"/>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财政拨款收入：指同级政府财政部门当年拨付的各类财政拨款。</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二、上级补助收入：指事业单位从主管部门和上级单位取得的非财政补助收入。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三、事业收入：指事业单位开展专业业务活动及辅助活动取得的收入。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四、经营收入：指事业单位在专业业务活动及其辅助活动之外开展非独立核算经营活动取得的收入。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五、附属单位上缴收入：指事业单位取得附属独立核算单位根据有关规定上缴的收入。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六、其他收入：指除上述“财政拨款收入”“事业收入”“上级补助收入”“经营收入”“附属单位上缴收入”等以外的收入。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七、使用非财政拨款结余（含专用结余）：指事业单位在当年的“财政拨款收入”“事业收入”“经营收入”“其他收入”等不足以安排当年支出的情况下，使用非同级财政拨款结余资金弥补本年度收支缺口。</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八、年初结转和结余：指以前年度尚未完成、结转到本年按有关规定继续使用的资金，或项目已完成等产生的结余资金。</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九、结余分配：指事业单位缴纳企业所得税以及从非财政拨款结余或经营结余中提取各类结余的情况。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十一、基本支出：指为保障机构正常运转、完成日常工作任务而发生的人员支出和公用支出。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十二、项目支出：指在基本支出之外为完成特定行政任务和事业发展目标所发生的支出。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十三、经营支出：指事业单位在专业业务活动及其辅助活动之外开展非独立核算经营活动发生的支出。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十六、支出功能分类：</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一般公共服务（类）发展与改革事务（款）其他发展与改革事务支出（项）；一般公共服务（类）</w:t>
      </w:r>
      <w:r>
        <w:rPr>
          <w:rFonts w:hint="eastAsia" w:ascii="仿宋_GB2312" w:hAnsi="仿宋_GB2312" w:eastAsia="仿宋_GB2312" w:cs="仿宋_GB2312"/>
          <w:b w:val="0"/>
          <w:bCs w:val="0"/>
          <w:sz w:val="32"/>
          <w:szCs w:val="32"/>
          <w:lang w:val="en-US" w:eastAsia="zh-CN"/>
        </w:rPr>
        <w:t>商贸事务（款）行政运行（项）；</w:t>
      </w:r>
      <w:r>
        <w:rPr>
          <w:rFonts w:hint="eastAsia" w:ascii="仿宋_GB2312" w:hAnsi="仿宋_GB2312" w:eastAsia="仿宋_GB2312" w:cs="仿宋_GB2312"/>
          <w:b w:val="0"/>
          <w:bCs w:val="0"/>
          <w:sz w:val="32"/>
          <w:szCs w:val="32"/>
          <w:highlight w:val="none"/>
        </w:rPr>
        <w:t>一般公共服务（类）</w:t>
      </w:r>
      <w:r>
        <w:rPr>
          <w:rFonts w:hint="eastAsia" w:ascii="仿宋_GB2312" w:hAnsi="仿宋_GB2312" w:eastAsia="仿宋_GB2312" w:cs="仿宋_GB2312"/>
          <w:b w:val="0"/>
          <w:bCs w:val="0"/>
          <w:sz w:val="32"/>
          <w:szCs w:val="32"/>
          <w:lang w:val="en-US" w:eastAsia="zh-CN"/>
        </w:rPr>
        <w:t>商贸事务（款）一般行政管理事务（项）；</w:t>
      </w:r>
      <w:r>
        <w:rPr>
          <w:rFonts w:hint="eastAsia" w:ascii="仿宋_GB2312" w:hAnsi="仿宋_GB2312" w:eastAsia="仿宋_GB2312" w:cs="仿宋_GB2312"/>
          <w:b w:val="0"/>
          <w:bCs w:val="0"/>
          <w:sz w:val="32"/>
          <w:szCs w:val="32"/>
          <w:highlight w:val="none"/>
        </w:rPr>
        <w:t>一般公共服务（类）</w:t>
      </w:r>
      <w:r>
        <w:rPr>
          <w:rFonts w:hint="eastAsia" w:ascii="仿宋_GB2312" w:hAnsi="仿宋_GB2312" w:eastAsia="仿宋_GB2312" w:cs="仿宋_GB2312"/>
          <w:b w:val="0"/>
          <w:bCs w:val="0"/>
          <w:sz w:val="32"/>
          <w:szCs w:val="32"/>
          <w:lang w:val="en-US" w:eastAsia="zh-CN"/>
        </w:rPr>
        <w:t>商贸事务（款）其他商贸事务支出（项）；</w:t>
      </w:r>
      <w:r>
        <w:rPr>
          <w:rFonts w:hint="eastAsia" w:ascii="仿宋_GB2312" w:hAnsi="仿宋_GB2312" w:eastAsia="仿宋_GB2312" w:cs="仿宋_GB2312"/>
          <w:b w:val="0"/>
          <w:bCs w:val="0"/>
          <w:sz w:val="32"/>
          <w:szCs w:val="32"/>
          <w:highlight w:val="none"/>
        </w:rPr>
        <w:t>社会保障和就业支出（类）</w:t>
      </w:r>
      <w:r>
        <w:rPr>
          <w:rFonts w:hint="eastAsia" w:ascii="仿宋_GB2312" w:hAnsi="仿宋_GB2312" w:eastAsia="仿宋_GB2312" w:cs="仿宋_GB2312"/>
          <w:b w:val="0"/>
          <w:bCs w:val="0"/>
          <w:sz w:val="32"/>
          <w:szCs w:val="32"/>
          <w:lang w:val="en-US" w:eastAsia="zh-CN"/>
        </w:rPr>
        <w:t>行政事业单位养老支出（款）机关事业单位基本养老保险缴费支出（项）；</w:t>
      </w:r>
      <w:r>
        <w:rPr>
          <w:rFonts w:hint="eastAsia" w:ascii="仿宋_GB2312" w:hAnsi="仿宋_GB2312" w:eastAsia="仿宋_GB2312" w:cs="仿宋_GB2312"/>
          <w:b w:val="0"/>
          <w:bCs w:val="0"/>
          <w:sz w:val="32"/>
          <w:szCs w:val="32"/>
          <w:highlight w:val="none"/>
        </w:rPr>
        <w:t>社会保障和就业支出（类）</w:t>
      </w:r>
      <w:r>
        <w:rPr>
          <w:rFonts w:hint="eastAsia" w:ascii="仿宋_GB2312" w:hAnsi="仿宋_GB2312" w:eastAsia="仿宋_GB2312" w:cs="仿宋_GB2312"/>
          <w:b w:val="0"/>
          <w:bCs w:val="0"/>
          <w:sz w:val="32"/>
          <w:szCs w:val="32"/>
          <w:lang w:val="en-US" w:eastAsia="zh-CN"/>
        </w:rPr>
        <w:t>行政事业单位养老支出（款）机关事业单位职业年金缴费支出（项）；</w:t>
      </w:r>
      <w:r>
        <w:rPr>
          <w:rFonts w:hint="eastAsia" w:ascii="仿宋_GB2312" w:hAnsi="仿宋_GB2312" w:eastAsia="仿宋_GB2312" w:cs="仿宋_GB2312"/>
          <w:b w:val="0"/>
          <w:bCs w:val="0"/>
          <w:sz w:val="32"/>
          <w:szCs w:val="32"/>
          <w:highlight w:val="none"/>
        </w:rPr>
        <w:t>卫生健康支出（类）</w:t>
      </w:r>
      <w:r>
        <w:rPr>
          <w:rFonts w:hint="eastAsia" w:ascii="仿宋_GB2312" w:hAnsi="仿宋_GB2312" w:eastAsia="仿宋_GB2312" w:cs="仿宋_GB2312"/>
          <w:b w:val="0"/>
          <w:bCs w:val="0"/>
          <w:sz w:val="32"/>
          <w:szCs w:val="32"/>
          <w:lang w:val="en-US" w:eastAsia="zh-CN"/>
        </w:rPr>
        <w:t>行政事业单位医疗（款）行政单位医疗（项）；</w:t>
      </w:r>
      <w:r>
        <w:rPr>
          <w:rFonts w:hint="eastAsia" w:ascii="仿宋_GB2312" w:hAnsi="仿宋_GB2312" w:eastAsia="仿宋_GB2312" w:cs="仿宋_GB2312"/>
          <w:b w:val="0"/>
          <w:bCs w:val="0"/>
          <w:sz w:val="32"/>
          <w:szCs w:val="32"/>
          <w:highlight w:val="none"/>
        </w:rPr>
        <w:t>卫生健康支出（类）</w:t>
      </w:r>
      <w:r>
        <w:rPr>
          <w:rFonts w:hint="eastAsia" w:ascii="仿宋_GB2312" w:hAnsi="仿宋_GB2312" w:eastAsia="仿宋_GB2312" w:cs="仿宋_GB2312"/>
          <w:b w:val="0"/>
          <w:bCs w:val="0"/>
          <w:sz w:val="32"/>
          <w:szCs w:val="32"/>
          <w:lang w:val="en-US" w:eastAsia="zh-CN"/>
        </w:rPr>
        <w:t>行政事业单位医疗（款）公务员医疗补助（项）；</w:t>
      </w:r>
      <w:r>
        <w:rPr>
          <w:rFonts w:hint="eastAsia" w:ascii="仿宋_GB2312" w:hAnsi="仿宋_GB2312" w:eastAsia="仿宋_GB2312" w:cs="仿宋_GB2312"/>
          <w:b w:val="0"/>
          <w:bCs w:val="0"/>
          <w:sz w:val="32"/>
          <w:szCs w:val="32"/>
          <w:highlight w:val="none"/>
        </w:rPr>
        <w:t>住房保障支出（类）</w:t>
      </w:r>
      <w:r>
        <w:rPr>
          <w:rFonts w:hint="eastAsia" w:ascii="仿宋_GB2312" w:hAnsi="仿宋_GB2312" w:eastAsia="仿宋_GB2312" w:cs="仿宋_GB2312"/>
          <w:b w:val="0"/>
          <w:bCs w:val="0"/>
          <w:sz w:val="32"/>
          <w:szCs w:val="32"/>
          <w:lang w:val="en-US" w:eastAsia="zh-CN"/>
        </w:rPr>
        <w:t>住房改革支出（款）住房公积金（项）。</w:t>
      </w:r>
    </w:p>
    <w:p>
      <w:pPr>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sz w:val="32"/>
          <w:szCs w:val="32"/>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17</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BDF52A"/>
    <w:multiLevelType w:val="singleLevel"/>
    <w:tmpl w:val="B0BDF52A"/>
    <w:lvl w:ilvl="0" w:tentative="0">
      <w:start w:val="2"/>
      <w:numFmt w:val="chineseCounting"/>
      <w:suff w:val="nothing"/>
      <w:lvlText w:val="（%1）"/>
      <w:lvlJc w:val="left"/>
      <w:pPr>
        <w:ind w:left="-10"/>
      </w:pPr>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5B5012"/>
    <w:rsid w:val="000E1EB5"/>
    <w:rsid w:val="005C018F"/>
    <w:rsid w:val="00647A72"/>
    <w:rsid w:val="00906E1C"/>
    <w:rsid w:val="00A442A2"/>
    <w:rsid w:val="016476E5"/>
    <w:rsid w:val="01C177B0"/>
    <w:rsid w:val="01D1208D"/>
    <w:rsid w:val="01F201D7"/>
    <w:rsid w:val="02212E7F"/>
    <w:rsid w:val="023D4457"/>
    <w:rsid w:val="026F248F"/>
    <w:rsid w:val="02A201AB"/>
    <w:rsid w:val="02BB3BC9"/>
    <w:rsid w:val="02D617DD"/>
    <w:rsid w:val="02EF2FE2"/>
    <w:rsid w:val="03B74ECD"/>
    <w:rsid w:val="03D70F30"/>
    <w:rsid w:val="03D862A7"/>
    <w:rsid w:val="04705716"/>
    <w:rsid w:val="04901794"/>
    <w:rsid w:val="04CC008B"/>
    <w:rsid w:val="04DA353E"/>
    <w:rsid w:val="04E01402"/>
    <w:rsid w:val="04EC30C8"/>
    <w:rsid w:val="056C23B6"/>
    <w:rsid w:val="05EA495D"/>
    <w:rsid w:val="065F0636"/>
    <w:rsid w:val="088C080B"/>
    <w:rsid w:val="08A1003D"/>
    <w:rsid w:val="08E35BA3"/>
    <w:rsid w:val="0958724C"/>
    <w:rsid w:val="096D1919"/>
    <w:rsid w:val="09A93B25"/>
    <w:rsid w:val="09B43A1F"/>
    <w:rsid w:val="0A044E09"/>
    <w:rsid w:val="0A7A5A6B"/>
    <w:rsid w:val="0A901DD7"/>
    <w:rsid w:val="0B34182D"/>
    <w:rsid w:val="0B744BB4"/>
    <w:rsid w:val="0BD936C6"/>
    <w:rsid w:val="0C1A7A34"/>
    <w:rsid w:val="0C222BF7"/>
    <w:rsid w:val="0C8363C4"/>
    <w:rsid w:val="0C903366"/>
    <w:rsid w:val="0CB568B2"/>
    <w:rsid w:val="0CC32636"/>
    <w:rsid w:val="0CF83946"/>
    <w:rsid w:val="0CFC1EA8"/>
    <w:rsid w:val="0D21658B"/>
    <w:rsid w:val="0DEF488D"/>
    <w:rsid w:val="0E04656E"/>
    <w:rsid w:val="0E263A3D"/>
    <w:rsid w:val="0E5F47B9"/>
    <w:rsid w:val="0E78088C"/>
    <w:rsid w:val="0EB6281D"/>
    <w:rsid w:val="0EBD3EF6"/>
    <w:rsid w:val="0F4B0A21"/>
    <w:rsid w:val="0FD13F4B"/>
    <w:rsid w:val="10060661"/>
    <w:rsid w:val="10192CB4"/>
    <w:rsid w:val="1059396D"/>
    <w:rsid w:val="10B21C05"/>
    <w:rsid w:val="10BE3766"/>
    <w:rsid w:val="10FE4423"/>
    <w:rsid w:val="11376833"/>
    <w:rsid w:val="11724A42"/>
    <w:rsid w:val="11851657"/>
    <w:rsid w:val="11863CF8"/>
    <w:rsid w:val="11876464"/>
    <w:rsid w:val="1194244A"/>
    <w:rsid w:val="11E43AAB"/>
    <w:rsid w:val="121E1F61"/>
    <w:rsid w:val="123C595A"/>
    <w:rsid w:val="128C1356"/>
    <w:rsid w:val="132A2C94"/>
    <w:rsid w:val="13436051"/>
    <w:rsid w:val="135C0283"/>
    <w:rsid w:val="135D2AC9"/>
    <w:rsid w:val="136F7571"/>
    <w:rsid w:val="13897974"/>
    <w:rsid w:val="13D31B6F"/>
    <w:rsid w:val="13D9125F"/>
    <w:rsid w:val="143A08ED"/>
    <w:rsid w:val="14740897"/>
    <w:rsid w:val="14B345B8"/>
    <w:rsid w:val="14F926B4"/>
    <w:rsid w:val="150B600A"/>
    <w:rsid w:val="151610D6"/>
    <w:rsid w:val="1527154C"/>
    <w:rsid w:val="15A7413D"/>
    <w:rsid w:val="15A91725"/>
    <w:rsid w:val="15BD0497"/>
    <w:rsid w:val="15BE5ED1"/>
    <w:rsid w:val="161D33CD"/>
    <w:rsid w:val="16480B63"/>
    <w:rsid w:val="16645340"/>
    <w:rsid w:val="16664B80"/>
    <w:rsid w:val="169962D9"/>
    <w:rsid w:val="16B22E81"/>
    <w:rsid w:val="16DA518A"/>
    <w:rsid w:val="16FB0482"/>
    <w:rsid w:val="1725536F"/>
    <w:rsid w:val="1753343B"/>
    <w:rsid w:val="176A1839"/>
    <w:rsid w:val="17FA7449"/>
    <w:rsid w:val="182F39C5"/>
    <w:rsid w:val="188311A8"/>
    <w:rsid w:val="1898779D"/>
    <w:rsid w:val="18FB2028"/>
    <w:rsid w:val="1946497B"/>
    <w:rsid w:val="194A4E04"/>
    <w:rsid w:val="198B2F46"/>
    <w:rsid w:val="19F47BAF"/>
    <w:rsid w:val="1A150AE9"/>
    <w:rsid w:val="1A256224"/>
    <w:rsid w:val="1A474E39"/>
    <w:rsid w:val="1A4A088E"/>
    <w:rsid w:val="1A537ADE"/>
    <w:rsid w:val="1A5C3820"/>
    <w:rsid w:val="1A913587"/>
    <w:rsid w:val="1AA74ED4"/>
    <w:rsid w:val="1AA859B9"/>
    <w:rsid w:val="1AB07DC0"/>
    <w:rsid w:val="1ABF43E2"/>
    <w:rsid w:val="1AE3252B"/>
    <w:rsid w:val="1B0E064D"/>
    <w:rsid w:val="1B296719"/>
    <w:rsid w:val="1B997A42"/>
    <w:rsid w:val="1BB97B51"/>
    <w:rsid w:val="1BBC658E"/>
    <w:rsid w:val="1BEC5875"/>
    <w:rsid w:val="1C027B53"/>
    <w:rsid w:val="1C0B1385"/>
    <w:rsid w:val="1C264AE5"/>
    <w:rsid w:val="1C407C3C"/>
    <w:rsid w:val="1C69561B"/>
    <w:rsid w:val="1C9931F1"/>
    <w:rsid w:val="1CFB5FE3"/>
    <w:rsid w:val="1D0C27AD"/>
    <w:rsid w:val="1D395E59"/>
    <w:rsid w:val="1DAD3F8A"/>
    <w:rsid w:val="1DC81F5B"/>
    <w:rsid w:val="1DF358AA"/>
    <w:rsid w:val="1E2F2D6E"/>
    <w:rsid w:val="1E4F00A4"/>
    <w:rsid w:val="1E7D0A1C"/>
    <w:rsid w:val="1E9A1689"/>
    <w:rsid w:val="1EC86B36"/>
    <w:rsid w:val="1F365999"/>
    <w:rsid w:val="1F446329"/>
    <w:rsid w:val="1F894ECB"/>
    <w:rsid w:val="1FC00855"/>
    <w:rsid w:val="1FF41E21"/>
    <w:rsid w:val="201D739B"/>
    <w:rsid w:val="215C57FC"/>
    <w:rsid w:val="216D2617"/>
    <w:rsid w:val="21A94C10"/>
    <w:rsid w:val="21B065A0"/>
    <w:rsid w:val="21CE2160"/>
    <w:rsid w:val="21D94B6C"/>
    <w:rsid w:val="22803064"/>
    <w:rsid w:val="22847D1E"/>
    <w:rsid w:val="22A619A4"/>
    <w:rsid w:val="22EA627E"/>
    <w:rsid w:val="231376E2"/>
    <w:rsid w:val="232D25D3"/>
    <w:rsid w:val="233B6B71"/>
    <w:rsid w:val="236C3340"/>
    <w:rsid w:val="237A21B6"/>
    <w:rsid w:val="23854742"/>
    <w:rsid w:val="23EB181F"/>
    <w:rsid w:val="23F03D1B"/>
    <w:rsid w:val="24224703"/>
    <w:rsid w:val="242C290D"/>
    <w:rsid w:val="24455713"/>
    <w:rsid w:val="246C5E4C"/>
    <w:rsid w:val="249E1F67"/>
    <w:rsid w:val="256F7A4C"/>
    <w:rsid w:val="260A2561"/>
    <w:rsid w:val="263B7C2C"/>
    <w:rsid w:val="264B52E0"/>
    <w:rsid w:val="2677344A"/>
    <w:rsid w:val="26B50FCF"/>
    <w:rsid w:val="26C6028C"/>
    <w:rsid w:val="26C81369"/>
    <w:rsid w:val="27195BEF"/>
    <w:rsid w:val="271A7DD5"/>
    <w:rsid w:val="27F70EC2"/>
    <w:rsid w:val="281D44C6"/>
    <w:rsid w:val="28246314"/>
    <w:rsid w:val="287B6B94"/>
    <w:rsid w:val="288A1200"/>
    <w:rsid w:val="290713DE"/>
    <w:rsid w:val="297B0F65"/>
    <w:rsid w:val="297B73A6"/>
    <w:rsid w:val="29E1349E"/>
    <w:rsid w:val="2A027F97"/>
    <w:rsid w:val="2A080AFF"/>
    <w:rsid w:val="2A1E3A6F"/>
    <w:rsid w:val="2A203EE0"/>
    <w:rsid w:val="2A282813"/>
    <w:rsid w:val="2A741A4D"/>
    <w:rsid w:val="2A9705B7"/>
    <w:rsid w:val="2AA91DF7"/>
    <w:rsid w:val="2AC92607"/>
    <w:rsid w:val="2AF76D4D"/>
    <w:rsid w:val="2B1A524B"/>
    <w:rsid w:val="2B6E7748"/>
    <w:rsid w:val="2B850A69"/>
    <w:rsid w:val="2BCC25E2"/>
    <w:rsid w:val="2C6F569C"/>
    <w:rsid w:val="2C902979"/>
    <w:rsid w:val="2D2320BA"/>
    <w:rsid w:val="2D8E7E46"/>
    <w:rsid w:val="2DAD1044"/>
    <w:rsid w:val="2DF05B9B"/>
    <w:rsid w:val="2E0F00F4"/>
    <w:rsid w:val="2E235090"/>
    <w:rsid w:val="2E49755B"/>
    <w:rsid w:val="2E642302"/>
    <w:rsid w:val="2EAB64D6"/>
    <w:rsid w:val="2EF30F6C"/>
    <w:rsid w:val="2F0E761F"/>
    <w:rsid w:val="2F2B5214"/>
    <w:rsid w:val="2F3C2D08"/>
    <w:rsid w:val="2F4370DC"/>
    <w:rsid w:val="2F51458E"/>
    <w:rsid w:val="2F714A40"/>
    <w:rsid w:val="2FB607C8"/>
    <w:rsid w:val="30310804"/>
    <w:rsid w:val="303123E2"/>
    <w:rsid w:val="303D343D"/>
    <w:rsid w:val="30431346"/>
    <w:rsid w:val="307B0C52"/>
    <w:rsid w:val="30950101"/>
    <w:rsid w:val="30D51183"/>
    <w:rsid w:val="30DA012C"/>
    <w:rsid w:val="30FC6669"/>
    <w:rsid w:val="31557A69"/>
    <w:rsid w:val="317D49F9"/>
    <w:rsid w:val="31AD57F9"/>
    <w:rsid w:val="31C11A7D"/>
    <w:rsid w:val="31C23019"/>
    <w:rsid w:val="31D12ADE"/>
    <w:rsid w:val="31D31661"/>
    <w:rsid w:val="31E764F3"/>
    <w:rsid w:val="31EA5A8E"/>
    <w:rsid w:val="3201360A"/>
    <w:rsid w:val="32310F67"/>
    <w:rsid w:val="32B043B2"/>
    <w:rsid w:val="32BD07FA"/>
    <w:rsid w:val="33131F3C"/>
    <w:rsid w:val="334D48AB"/>
    <w:rsid w:val="33795AE3"/>
    <w:rsid w:val="33D80BD4"/>
    <w:rsid w:val="3447427F"/>
    <w:rsid w:val="344A4520"/>
    <w:rsid w:val="348C79E8"/>
    <w:rsid w:val="349D4454"/>
    <w:rsid w:val="34B90C43"/>
    <w:rsid w:val="351B1282"/>
    <w:rsid w:val="358D2830"/>
    <w:rsid w:val="35F243E2"/>
    <w:rsid w:val="35FB3E60"/>
    <w:rsid w:val="36E82780"/>
    <w:rsid w:val="37241D6A"/>
    <w:rsid w:val="377A0D46"/>
    <w:rsid w:val="37AA355F"/>
    <w:rsid w:val="3845451E"/>
    <w:rsid w:val="385560CA"/>
    <w:rsid w:val="386A1FB9"/>
    <w:rsid w:val="38884628"/>
    <w:rsid w:val="390B6976"/>
    <w:rsid w:val="394F76B2"/>
    <w:rsid w:val="39673C50"/>
    <w:rsid w:val="39CE35E1"/>
    <w:rsid w:val="3A2A056C"/>
    <w:rsid w:val="3A2D0ED4"/>
    <w:rsid w:val="3A6502F9"/>
    <w:rsid w:val="3AF80651"/>
    <w:rsid w:val="3B1F68F7"/>
    <w:rsid w:val="3B803D73"/>
    <w:rsid w:val="3B8040CB"/>
    <w:rsid w:val="3BE02F30"/>
    <w:rsid w:val="3BEE0C9D"/>
    <w:rsid w:val="3BF748CA"/>
    <w:rsid w:val="3C6C0068"/>
    <w:rsid w:val="3C84085D"/>
    <w:rsid w:val="3C892B0D"/>
    <w:rsid w:val="3C8F7B2D"/>
    <w:rsid w:val="3CD47E63"/>
    <w:rsid w:val="3D607977"/>
    <w:rsid w:val="3D67451E"/>
    <w:rsid w:val="3D6E5229"/>
    <w:rsid w:val="3D7464B0"/>
    <w:rsid w:val="3D772052"/>
    <w:rsid w:val="3D88598E"/>
    <w:rsid w:val="3DA9328D"/>
    <w:rsid w:val="3E012E30"/>
    <w:rsid w:val="3E495706"/>
    <w:rsid w:val="3E4E7752"/>
    <w:rsid w:val="3E9665D0"/>
    <w:rsid w:val="3EC81EA6"/>
    <w:rsid w:val="3ED62692"/>
    <w:rsid w:val="3EDF63D0"/>
    <w:rsid w:val="3EEF581B"/>
    <w:rsid w:val="3F085407"/>
    <w:rsid w:val="3F3B10B1"/>
    <w:rsid w:val="3FB2187A"/>
    <w:rsid w:val="3FC22563"/>
    <w:rsid w:val="3FC262EE"/>
    <w:rsid w:val="40080A1D"/>
    <w:rsid w:val="403953C5"/>
    <w:rsid w:val="404A1920"/>
    <w:rsid w:val="40A27428"/>
    <w:rsid w:val="40B42FE2"/>
    <w:rsid w:val="411E5427"/>
    <w:rsid w:val="413C6C60"/>
    <w:rsid w:val="414927D2"/>
    <w:rsid w:val="416F36D2"/>
    <w:rsid w:val="41A53C43"/>
    <w:rsid w:val="423D1876"/>
    <w:rsid w:val="42926297"/>
    <w:rsid w:val="42A81BB6"/>
    <w:rsid w:val="42F96E3F"/>
    <w:rsid w:val="43B95D5F"/>
    <w:rsid w:val="43CC08D5"/>
    <w:rsid w:val="43E54DC1"/>
    <w:rsid w:val="43ED1BB6"/>
    <w:rsid w:val="43F744B6"/>
    <w:rsid w:val="440A37A7"/>
    <w:rsid w:val="44686CAE"/>
    <w:rsid w:val="446F339B"/>
    <w:rsid w:val="44D7564C"/>
    <w:rsid w:val="44F86CA3"/>
    <w:rsid w:val="452548FF"/>
    <w:rsid w:val="45484901"/>
    <w:rsid w:val="45733396"/>
    <w:rsid w:val="45817BEC"/>
    <w:rsid w:val="459178C1"/>
    <w:rsid w:val="45CC68A5"/>
    <w:rsid w:val="45D80196"/>
    <w:rsid w:val="467D1F43"/>
    <w:rsid w:val="46C17F79"/>
    <w:rsid w:val="476610E9"/>
    <w:rsid w:val="476D0774"/>
    <w:rsid w:val="478962DD"/>
    <w:rsid w:val="47A4753F"/>
    <w:rsid w:val="47BE6C70"/>
    <w:rsid w:val="481E3D02"/>
    <w:rsid w:val="482915DD"/>
    <w:rsid w:val="488D3E7C"/>
    <w:rsid w:val="490E6DB0"/>
    <w:rsid w:val="49250290"/>
    <w:rsid w:val="4944244E"/>
    <w:rsid w:val="49C36C1E"/>
    <w:rsid w:val="49E10B8F"/>
    <w:rsid w:val="49E25F94"/>
    <w:rsid w:val="49F65CB9"/>
    <w:rsid w:val="4A017D67"/>
    <w:rsid w:val="4A445DFE"/>
    <w:rsid w:val="4A5C2456"/>
    <w:rsid w:val="4A7952DF"/>
    <w:rsid w:val="4AE25A30"/>
    <w:rsid w:val="4AEA6899"/>
    <w:rsid w:val="4AEC1B72"/>
    <w:rsid w:val="4AF45B77"/>
    <w:rsid w:val="4B2501C9"/>
    <w:rsid w:val="4B515AAF"/>
    <w:rsid w:val="4B6152D5"/>
    <w:rsid w:val="4B6B01AE"/>
    <w:rsid w:val="4B6F02B5"/>
    <w:rsid w:val="4B7E77C3"/>
    <w:rsid w:val="4B9F61E0"/>
    <w:rsid w:val="4BD12E47"/>
    <w:rsid w:val="4BD34667"/>
    <w:rsid w:val="4BE50EF7"/>
    <w:rsid w:val="4BEF11E4"/>
    <w:rsid w:val="4BF35CDB"/>
    <w:rsid w:val="4C06360E"/>
    <w:rsid w:val="4C234E6A"/>
    <w:rsid w:val="4C3461D6"/>
    <w:rsid w:val="4C626AC5"/>
    <w:rsid w:val="4C6E43FB"/>
    <w:rsid w:val="4CD26095"/>
    <w:rsid w:val="4D6019BD"/>
    <w:rsid w:val="4D871169"/>
    <w:rsid w:val="4D981FA4"/>
    <w:rsid w:val="4DCF3914"/>
    <w:rsid w:val="4DFD6AAC"/>
    <w:rsid w:val="4E650E73"/>
    <w:rsid w:val="4EB65C0A"/>
    <w:rsid w:val="4EC35AF7"/>
    <w:rsid w:val="4EDE5A52"/>
    <w:rsid w:val="4EE7283D"/>
    <w:rsid w:val="4F435320"/>
    <w:rsid w:val="4FE10C67"/>
    <w:rsid w:val="500A55F8"/>
    <w:rsid w:val="502F5C36"/>
    <w:rsid w:val="50363D79"/>
    <w:rsid w:val="50515EA9"/>
    <w:rsid w:val="50C33F02"/>
    <w:rsid w:val="510166D6"/>
    <w:rsid w:val="510E1AC5"/>
    <w:rsid w:val="5167671A"/>
    <w:rsid w:val="525E446C"/>
    <w:rsid w:val="52726AFE"/>
    <w:rsid w:val="52A23976"/>
    <w:rsid w:val="54DF43D8"/>
    <w:rsid w:val="54F5403F"/>
    <w:rsid w:val="551C46E1"/>
    <w:rsid w:val="55564CDF"/>
    <w:rsid w:val="55740885"/>
    <w:rsid w:val="55C279DE"/>
    <w:rsid w:val="56516398"/>
    <w:rsid w:val="574B0490"/>
    <w:rsid w:val="57F077C9"/>
    <w:rsid w:val="585958A6"/>
    <w:rsid w:val="5893529D"/>
    <w:rsid w:val="58CF22F1"/>
    <w:rsid w:val="58FD1BCE"/>
    <w:rsid w:val="592F682F"/>
    <w:rsid w:val="5952736E"/>
    <w:rsid w:val="595B5012"/>
    <w:rsid w:val="599137C8"/>
    <w:rsid w:val="59AE3B25"/>
    <w:rsid w:val="59C8445E"/>
    <w:rsid w:val="59E15ADC"/>
    <w:rsid w:val="59E35527"/>
    <w:rsid w:val="5A2F3783"/>
    <w:rsid w:val="5A3B5CE7"/>
    <w:rsid w:val="5AB51216"/>
    <w:rsid w:val="5ACF769A"/>
    <w:rsid w:val="5AD7002C"/>
    <w:rsid w:val="5ADA7A7D"/>
    <w:rsid w:val="5BAC712C"/>
    <w:rsid w:val="5BE82599"/>
    <w:rsid w:val="5C0C25FB"/>
    <w:rsid w:val="5C9451EC"/>
    <w:rsid w:val="5CC1481E"/>
    <w:rsid w:val="5CED6EFD"/>
    <w:rsid w:val="5D2B162D"/>
    <w:rsid w:val="5D5C73E8"/>
    <w:rsid w:val="5D807DCF"/>
    <w:rsid w:val="5DE83187"/>
    <w:rsid w:val="5E773825"/>
    <w:rsid w:val="5E8048C6"/>
    <w:rsid w:val="5EA74DE1"/>
    <w:rsid w:val="5EA97285"/>
    <w:rsid w:val="5EAA6693"/>
    <w:rsid w:val="5EC747BA"/>
    <w:rsid w:val="5EDD3D17"/>
    <w:rsid w:val="5F1925D4"/>
    <w:rsid w:val="5F5E61F2"/>
    <w:rsid w:val="5F826BD3"/>
    <w:rsid w:val="5F8C0200"/>
    <w:rsid w:val="5F9E2ED2"/>
    <w:rsid w:val="5FC032BD"/>
    <w:rsid w:val="5FDC671E"/>
    <w:rsid w:val="5FDE795C"/>
    <w:rsid w:val="60480E63"/>
    <w:rsid w:val="606818F6"/>
    <w:rsid w:val="60754244"/>
    <w:rsid w:val="6078041B"/>
    <w:rsid w:val="60C32333"/>
    <w:rsid w:val="61311292"/>
    <w:rsid w:val="615D0B8C"/>
    <w:rsid w:val="61FF0478"/>
    <w:rsid w:val="629E003D"/>
    <w:rsid w:val="62BC301E"/>
    <w:rsid w:val="62C35E4F"/>
    <w:rsid w:val="62D334C4"/>
    <w:rsid w:val="63773056"/>
    <w:rsid w:val="639459AE"/>
    <w:rsid w:val="642E778D"/>
    <w:rsid w:val="643A4424"/>
    <w:rsid w:val="64A576BB"/>
    <w:rsid w:val="65353286"/>
    <w:rsid w:val="65632E6A"/>
    <w:rsid w:val="65716291"/>
    <w:rsid w:val="65812D4E"/>
    <w:rsid w:val="663A3B6E"/>
    <w:rsid w:val="666D1233"/>
    <w:rsid w:val="668416A7"/>
    <w:rsid w:val="66CF7528"/>
    <w:rsid w:val="66EC3FBC"/>
    <w:rsid w:val="6700113C"/>
    <w:rsid w:val="673C7923"/>
    <w:rsid w:val="67490D62"/>
    <w:rsid w:val="67D23B0B"/>
    <w:rsid w:val="67D62F00"/>
    <w:rsid w:val="67E12F55"/>
    <w:rsid w:val="67E8213D"/>
    <w:rsid w:val="682553C0"/>
    <w:rsid w:val="683908C6"/>
    <w:rsid w:val="683B63A0"/>
    <w:rsid w:val="68902FA9"/>
    <w:rsid w:val="69503C2F"/>
    <w:rsid w:val="69646B2B"/>
    <w:rsid w:val="698C3121"/>
    <w:rsid w:val="69AA2AB9"/>
    <w:rsid w:val="69AA3BBA"/>
    <w:rsid w:val="69CC52B9"/>
    <w:rsid w:val="6A204DD4"/>
    <w:rsid w:val="6A4D4A27"/>
    <w:rsid w:val="6A6D0525"/>
    <w:rsid w:val="6A6E0492"/>
    <w:rsid w:val="6A735C5E"/>
    <w:rsid w:val="6AE71BFA"/>
    <w:rsid w:val="6AFA5AE5"/>
    <w:rsid w:val="6B103479"/>
    <w:rsid w:val="6B6D4445"/>
    <w:rsid w:val="6B7F6E04"/>
    <w:rsid w:val="6B8D7534"/>
    <w:rsid w:val="6BEB0407"/>
    <w:rsid w:val="6C230FE9"/>
    <w:rsid w:val="6C520F80"/>
    <w:rsid w:val="6C7E0EC2"/>
    <w:rsid w:val="6C836F84"/>
    <w:rsid w:val="6CAD3A17"/>
    <w:rsid w:val="6CB11BD1"/>
    <w:rsid w:val="6D0F515D"/>
    <w:rsid w:val="6D654DD3"/>
    <w:rsid w:val="6D8E6164"/>
    <w:rsid w:val="6DC7737B"/>
    <w:rsid w:val="6E1162E1"/>
    <w:rsid w:val="6E265F14"/>
    <w:rsid w:val="6ED86890"/>
    <w:rsid w:val="6F2E6BE2"/>
    <w:rsid w:val="6FA46D33"/>
    <w:rsid w:val="6FC222A2"/>
    <w:rsid w:val="6FE0339F"/>
    <w:rsid w:val="6FF213D1"/>
    <w:rsid w:val="70714DD5"/>
    <w:rsid w:val="70B54D4F"/>
    <w:rsid w:val="70B86C5F"/>
    <w:rsid w:val="716E2E3A"/>
    <w:rsid w:val="71945416"/>
    <w:rsid w:val="71B8388B"/>
    <w:rsid w:val="71BB20A3"/>
    <w:rsid w:val="71D830C2"/>
    <w:rsid w:val="71F82A0F"/>
    <w:rsid w:val="722F6A1E"/>
    <w:rsid w:val="728052AF"/>
    <w:rsid w:val="72DE4CF6"/>
    <w:rsid w:val="72E679DD"/>
    <w:rsid w:val="733918C8"/>
    <w:rsid w:val="73BA258E"/>
    <w:rsid w:val="73CB0D52"/>
    <w:rsid w:val="73E448A7"/>
    <w:rsid w:val="73FE3995"/>
    <w:rsid w:val="746174EE"/>
    <w:rsid w:val="747B35E1"/>
    <w:rsid w:val="747C22E9"/>
    <w:rsid w:val="751E765F"/>
    <w:rsid w:val="75472667"/>
    <w:rsid w:val="7547778F"/>
    <w:rsid w:val="7552142E"/>
    <w:rsid w:val="75AF6E04"/>
    <w:rsid w:val="75E648C0"/>
    <w:rsid w:val="76281F79"/>
    <w:rsid w:val="766C19A0"/>
    <w:rsid w:val="76704437"/>
    <w:rsid w:val="76ED5312"/>
    <w:rsid w:val="7758589F"/>
    <w:rsid w:val="77CF30FD"/>
    <w:rsid w:val="7885356D"/>
    <w:rsid w:val="78C7525A"/>
    <w:rsid w:val="790E185D"/>
    <w:rsid w:val="79D3207B"/>
    <w:rsid w:val="79DC0746"/>
    <w:rsid w:val="79F3260E"/>
    <w:rsid w:val="7A433D24"/>
    <w:rsid w:val="7A9B0582"/>
    <w:rsid w:val="7AA6341E"/>
    <w:rsid w:val="7AEA7882"/>
    <w:rsid w:val="7AF422F6"/>
    <w:rsid w:val="7B48034C"/>
    <w:rsid w:val="7B654C9B"/>
    <w:rsid w:val="7B7B1B6E"/>
    <w:rsid w:val="7BC573C8"/>
    <w:rsid w:val="7BEA3712"/>
    <w:rsid w:val="7C241511"/>
    <w:rsid w:val="7C760743"/>
    <w:rsid w:val="7C7E00F7"/>
    <w:rsid w:val="7C9F6BD1"/>
    <w:rsid w:val="7CEB4FF9"/>
    <w:rsid w:val="7D256621"/>
    <w:rsid w:val="7D4A5DA2"/>
    <w:rsid w:val="7D745ECF"/>
    <w:rsid w:val="7D855CF2"/>
    <w:rsid w:val="7DA85A48"/>
    <w:rsid w:val="7DBC193A"/>
    <w:rsid w:val="7DE236FA"/>
    <w:rsid w:val="7DFC0BDD"/>
    <w:rsid w:val="7E24288D"/>
    <w:rsid w:val="7E284D12"/>
    <w:rsid w:val="7E472EDA"/>
    <w:rsid w:val="7EDF703E"/>
    <w:rsid w:val="7EE75F21"/>
    <w:rsid w:val="7F0C1768"/>
    <w:rsid w:val="7F8A39A3"/>
    <w:rsid w:val="7FCA5AF8"/>
    <w:rsid w:val="7FFC6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firstLineChars="200"/>
      <w:outlineLvl w:val="1"/>
    </w:pPr>
    <w:rPr>
      <w:rFonts w:ascii="Arial" w:hAnsi="Arial" w:eastAsia="黑体"/>
      <w:bCs/>
      <w:sz w:val="32"/>
      <w:szCs w:val="32"/>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paragraph" w:customStyle="1" w:styleId="7">
    <w:name w:val="WPSOffice手动目录 1"/>
    <w:qFormat/>
    <w:uiPriority w:val="0"/>
    <w:rPr>
      <w:rFonts w:ascii="Times New Roman" w:hAnsi="Times New Roman" w:eastAsia="宋体" w:cs="Times New Roman"/>
      <w:lang w:val="en-US" w:eastAsia="zh-CN" w:bidi="ar-SA"/>
    </w:rPr>
  </w:style>
  <w:style w:type="paragraph" w:customStyle="1" w:styleId="8">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天涯区</Company>
  <Pages>1</Pages>
  <Words>0</Words>
  <Characters>0</Characters>
  <Lines>0</Lines>
  <Paragraphs>0</Paragraphs>
  <TotalTime>43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2025-09-26T02:00:00Z</dcterms:created>
  <dc:creator>Administrator</dc:creator>
  <cp:lastModifiedBy>Administrator</cp:lastModifiedBy>
  <cp:lastPrinted>2025-10-13T07:40:00Z</cp:lastPrinted>
  <dcterms:modified xsi:type="dcterms:W3CDTF">2025-10-07T09:58:50Z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