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578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三亚市天涯区202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color w:val="auto"/>
          <w:sz w:val="44"/>
          <w:szCs w:val="44"/>
        </w:rPr>
        <w:t>年财政决算及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578" w:lineRule="exact"/>
        <w:jc w:val="center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202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color w:val="auto"/>
          <w:sz w:val="44"/>
          <w:szCs w:val="44"/>
        </w:rPr>
        <w:t>年上半年财政预算执行情况</w:t>
      </w:r>
      <w:r>
        <w:rPr>
          <w:rFonts w:hint="eastAsia" w:ascii="方正小标宋简体" w:eastAsia="方正小标宋简体"/>
          <w:color w:val="auto"/>
          <w:sz w:val="44"/>
          <w:szCs w:val="44"/>
          <w:lang w:eastAsia="zh-CN"/>
        </w:rPr>
        <w:t>的</w:t>
      </w:r>
      <w:r>
        <w:rPr>
          <w:rFonts w:hint="eastAsia" w:ascii="方正小标宋简体" w:eastAsia="方正小标宋简体"/>
          <w:color w:val="auto"/>
          <w:sz w:val="44"/>
          <w:szCs w:val="44"/>
        </w:rPr>
        <w:t>报告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578" w:lineRule="exact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三亚市天涯区人民代表大会常务委员会：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受天涯区人民政府委托，现向区人大常委会报告2024年区本级财政决算报告和2025年上半年财政预算执行情况，请予审查。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一、2024年财政收支决算情况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2024年，在区委、区政府坚强领导下，全区上下攻坚克难，团结实干，全力推进海南自贸港高质量发展示范区建设，推动财政各项工作不断迈上新台阶，取得新成效。过去一年，始终坚持过“紧日子”要求，把财政资金用在天涯发展紧要处、急需处，同时不断优化支出结构，盘活存量、用好增量，切实提高财政资金效益。根据预算法有关规定，重点报告以下情况：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  <w:t>（一）全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  <w:lang w:eastAsia="zh-CN"/>
        </w:rPr>
        <w:t>区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  <w:t>一般公共预算收支决算情况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区地方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一般公共预算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156,208万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同比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1.7%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加上上级补助收入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63,221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、债务转贷收入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20,000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万元、上年结余收入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11,088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万元、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动用预算稳定调节基金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万元，收入总计250,517万元。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一般公共预算支出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216,277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，同比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1.5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加上上解上级支出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13,085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万元、</w:t>
      </w:r>
      <w:r>
        <w:rPr>
          <w:rFonts w:hint="default" w:ascii="仿宋_GB2312" w:hAnsi="Times New Roman" w:eastAsia="仿宋_GB2312" w:cs="Times New Roman"/>
          <w:color w:val="auto"/>
          <w:sz w:val="32"/>
          <w:szCs w:val="32"/>
          <w:highlight w:val="none"/>
          <w:lang w:val="zh-CN" w:eastAsia="zh-CN"/>
        </w:rPr>
        <w:t>安排预算稳定调节基金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4,360</w:t>
      </w: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、地方政府一般债务还本支出500万元，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总计234,222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万元。收支相抵，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结余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16,295万元。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  <w:t>（二）全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  <w:lang w:eastAsia="zh-CN"/>
        </w:rPr>
        <w:t>区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  <w:t>政府性基金收支决算情况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天涯区政府性基金上级补助收入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92,790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元，同比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10.8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加上债务转贷收入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76,552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万元、上年结余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11,249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万元，收入总计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18,0591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全区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政府性基金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114,436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，同比下降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18.2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%；加上债务还本支出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101万元，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总计114,537万元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收支相抵，结余结转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66,054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0000FF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  <w:lang w:eastAsia="zh-CN"/>
        </w:rPr>
        <w:t>（三）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  <w:t>全区部门收支决算情况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全区部门总收入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335,437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，同比下降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11.7%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。其中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当年收入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335,197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万元（一般公共预算财政拨款收入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215,466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占部门当年收入的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64.3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%，非财政拨款收入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119,731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占部门当年收入的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35.7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%），上年结转结余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239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eastAsia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全区部门本年支出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335,197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万元，同比下降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0.07%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。其中：基本支出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43,088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万元，占本年支出的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12.9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%，项目支出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292,109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万元，占本年支出的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87.1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%。年末结转结余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240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元。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  <w:t>）“三公”经费决算情况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年，全区“三公”经费支出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72.9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较上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41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万元，同比增长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128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%。其中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：因公出国（境）经费支出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51.3万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元、公务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车运行费支出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万元、公务接待费支出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（五）全区地方政府性债务情况</w:t>
      </w:r>
    </w:p>
    <w:p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年末，全区地方政府性债务余额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268,808万元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。其中：一般债务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68,828万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元，专项债务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199,980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万元，主要用于自贸港经济建设、重点园区、交通、水利、科教文卫等领域基础建设。政府性债务偿还支出已纳入市级预算管理，在一般公共预算和政府性基金预算中足额安排。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年上半年财政预算执行情况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  <w:t>（一）一般公共预算收支情况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上半年，全区一般公共预算收入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171,773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，同比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增长25.8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。其中：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地方一般公共预算收入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105,180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万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元，同比增长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17.2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%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完成年初预算的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70.8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%，快于序时进度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8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</w:rPr>
        <w:t>个百分点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zh-CN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zh-CN"/>
        </w:rPr>
        <w:t>上级补助收入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66,893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zh-CN"/>
        </w:rPr>
        <w:t xml:space="preserve"> 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，同比增长42.2%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auto"/>
          <w:lang w:val="zh-CN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仿宋_GB2312" w:eastAsia="仿宋_GB2312"/>
          <w:color w:val="FF0000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一般公共预算支出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111,393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万元，同比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增长8.5%。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其中：区本级一般公共预算支出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72,724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万元，同比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;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；上级补助支出38,669亿元，同比增长33.3%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highlight w:val="none"/>
        </w:rPr>
        <w:t>（二）政府性基金收支情况</w:t>
      </w:r>
    </w:p>
    <w:p>
      <w:pPr>
        <w:pStyle w:val="11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上半年，全区政府性基金补助收入</w:t>
      </w:r>
      <w:r>
        <w:rPr>
          <w:rFonts w:hint="eastAsia"/>
          <w:color w:val="auto"/>
          <w:highlight w:val="none"/>
          <w:lang w:val="en-US" w:eastAsia="zh-CN"/>
        </w:rPr>
        <w:t>35,131</w:t>
      </w:r>
      <w:r>
        <w:rPr>
          <w:rFonts w:hint="eastAsia"/>
          <w:color w:val="auto"/>
          <w:highlight w:val="none"/>
        </w:rPr>
        <w:t xml:space="preserve"> 万元，同比</w:t>
      </w:r>
      <w:r>
        <w:rPr>
          <w:rFonts w:hint="eastAsia"/>
          <w:color w:val="auto"/>
          <w:highlight w:val="none"/>
          <w:lang w:eastAsia="zh-CN"/>
        </w:rPr>
        <w:t>下降</w:t>
      </w:r>
      <w:r>
        <w:rPr>
          <w:rFonts w:hint="eastAsia"/>
          <w:color w:val="auto"/>
          <w:highlight w:val="none"/>
          <w:lang w:val="en-US" w:eastAsia="zh-CN"/>
        </w:rPr>
        <w:t>58.9</w:t>
      </w:r>
      <w:r>
        <w:rPr>
          <w:rFonts w:hint="eastAsia"/>
          <w:color w:val="auto"/>
          <w:highlight w:val="none"/>
        </w:rPr>
        <w:t>%</w:t>
      </w:r>
      <w:r>
        <w:rPr>
          <w:rFonts w:hint="eastAsia"/>
          <w:color w:val="auto"/>
          <w:highlight w:val="none"/>
          <w:lang w:eastAsia="zh-CN"/>
        </w:rPr>
        <w:t>；政府性基金</w:t>
      </w:r>
      <w:r>
        <w:rPr>
          <w:rFonts w:hint="eastAsia"/>
          <w:color w:val="auto"/>
          <w:highlight w:val="none"/>
        </w:rPr>
        <w:t>支出104,960.88万元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，同比</w:t>
      </w:r>
      <w:r>
        <w:rPr>
          <w:rFonts w:hint="eastAsia" w:hAnsi="仿宋"/>
          <w:color w:val="auto"/>
          <w:sz w:val="32"/>
          <w:szCs w:val="32"/>
          <w:highlight w:val="none"/>
          <w:lang w:eastAsia="zh-CN"/>
        </w:rPr>
        <w:t>增长</w:t>
      </w:r>
      <w:r>
        <w:rPr>
          <w:rFonts w:hint="eastAsia" w:hAnsi="仿宋"/>
          <w:color w:val="auto"/>
          <w:sz w:val="32"/>
          <w:szCs w:val="32"/>
          <w:highlight w:val="none"/>
          <w:lang w:val="en-US" w:eastAsia="zh-CN"/>
        </w:rPr>
        <w:t>120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%</w:t>
      </w:r>
      <w:r>
        <w:rPr>
          <w:rFonts w:hint="eastAsia"/>
          <w:color w:val="auto"/>
          <w:highlight w:val="none"/>
        </w:rPr>
        <w:t>。</w:t>
      </w:r>
    </w:p>
    <w:p>
      <w:pPr>
        <w:pStyle w:val="11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</w:rPr>
      </w:pPr>
      <w:r>
        <w:rPr>
          <w:rFonts w:hint="eastAsia" w:ascii="黑体" w:hAnsi="黑体" w:eastAsia="黑体" w:cs="黑体"/>
          <w:bCs/>
          <w:color w:val="auto"/>
        </w:rPr>
        <w:t>三、2024年财政预算执行主要成效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（一）抓收入促增长，确保财政收支平衡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强化征管稳收入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牢固树立“抓财源建设就是抓发展”理念。加强对重点行业、重点税源的跟踪监测，及时掌握企业生产经营状况和纳税情况，把握组织收入主动性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征管力度也在不断加大。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当年度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税务部门收入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累计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60.13亿元，减收3.89亿元，同比下降6.1%，区级税收分享15.07亿元，同比下降3.3%；非税收入累计征缴非税收入0.79亿元，区级非税分享0.55万元，同比增长81.6%，为天涯区经济社会高质量发展提供更加坚实的财政保障。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争取资金强保障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累计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争取上级资金14.23亿元，同比增长56.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市政府投资资金2.29亿元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市级土地储备资金3.38亿元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中央专项彩票公益金支持地方社会公益事业发展资金0.11亿元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一般债券资金1.8亿元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专项债券资金6.31亿元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国债资金0.34亿元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重点项目建设和民生需求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提供有力支撑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578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盘活存量提效益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聚焦财政资源高效配置，以“盘活存量、优化结构、提升效能”为主线，通过系统性举措激活沉淀资金，切实提升财政资金使用效益。组织开展《三亚市天涯区实有账户资金“清零”式回收资金清理工作方案》进行沉淀资金清查。对项目到期终止、超期未使用的结余结转资金及时收回统筹，全年收回存量资金732万元。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盘活存量资金累计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安排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1.18亿元，充分激活沉积资金效益，缓解财政资金压力，提高资金使用效益，支持天涯区经济社会发展。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培育经济发展新动能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firstLine="643" w:firstLineChars="200"/>
        <w:jc w:val="left"/>
        <w:textAlignment w:val="auto"/>
        <w:rPr>
          <w:rStyle w:val="9"/>
          <w:rFonts w:hint="default" w:ascii="Times New Roman" w:hAnsi="Times New Roman" w:eastAsia="仿宋_GB2312" w:cs="Times New Roman"/>
          <w:b/>
          <w:bCs/>
          <w:color w:val="auto"/>
          <w:kern w:val="21"/>
          <w:sz w:val="32"/>
          <w:szCs w:val="2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9"/>
          <w:rFonts w:hint="eastAsia" w:ascii="Times New Roman" w:hAnsi="Times New Roman" w:eastAsia="仿宋_GB2312" w:cs="Times New Roman"/>
          <w:b/>
          <w:bCs/>
          <w:color w:val="auto"/>
          <w:kern w:val="21"/>
          <w:sz w:val="32"/>
          <w:szCs w:val="22"/>
          <w:highlight w:val="none"/>
          <w:lang w:val="en-US" w:eastAsia="zh-CN" w:bidi="ar-SA"/>
        </w:rPr>
        <w:t>赋能农业产业高质量发展。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“产业兴旺、生态宜居、乡风文明、治理有效、生活富裕”总要求，聚焦农业产业建设，持续加大财政投入，为推动农业增效、农民增收和农村繁荣注入强劲“财动力”。坚持农业农村优先发展，不断加大财政资金投入力度，全力保障农业产业建设。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累计投入农林水资金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2.98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亿元，同比增长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13.8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%，其中用于农业产业发展的专项资金达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0.25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亿元。积极争取上级财政支持，累计获得中央和省级涉农转移支付资金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0.48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</w:rPr>
        <w:t>农产品集散中心水产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建设，农产品分拣中心等重大农业扶持项目，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有效缓解地方财政压力，为农业产业项目建设提供了坚实的资金保障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highlight w:val="none"/>
          <w:lang w:val="en-US" w:eastAsia="zh-CN"/>
        </w:rPr>
      </w:pPr>
      <w:r>
        <w:rPr>
          <w:rStyle w:val="9"/>
          <w:rFonts w:hint="default" w:ascii="Times New Roman" w:hAnsi="Times New Roman" w:eastAsia="仿宋_GB2312" w:cs="Times New Roman"/>
          <w:b/>
          <w:bCs/>
          <w:color w:val="auto"/>
          <w:kern w:val="21"/>
          <w:sz w:val="32"/>
          <w:szCs w:val="22"/>
          <w:highlight w:val="none"/>
          <w:lang w:val="en-US" w:eastAsia="zh-CN" w:bidi="ar-SA"/>
        </w:rPr>
        <w:t>推动旅游业转型升级</w:t>
      </w:r>
      <w:r>
        <w:rPr>
          <w:rStyle w:val="9"/>
          <w:rFonts w:hint="eastAsia" w:ascii="Times New Roman" w:hAnsi="Times New Roman" w:eastAsia="仿宋_GB2312" w:cs="Times New Roman"/>
          <w:b/>
          <w:bCs/>
          <w:color w:val="auto"/>
          <w:kern w:val="21"/>
          <w:sz w:val="32"/>
          <w:szCs w:val="22"/>
          <w:highlight w:val="none"/>
          <w:lang w:val="en-US" w:eastAsia="zh-CN" w:bidi="ar-SA"/>
        </w:rPr>
        <w:t>。</w:t>
      </w:r>
      <w:r>
        <w:rPr>
          <w:rStyle w:val="9"/>
          <w:rFonts w:hint="default" w:ascii="Times New Roman" w:hAnsi="Times New Roman" w:eastAsia="仿宋_GB2312" w:cs="Times New Roman"/>
          <w:b w:val="0"/>
          <w:bCs w:val="0"/>
          <w:color w:val="auto"/>
          <w:kern w:val="21"/>
          <w:sz w:val="32"/>
          <w:szCs w:val="22"/>
          <w:highlight w:val="none"/>
          <w:lang w:val="en-US" w:eastAsia="zh-CN" w:bidi="ar-SA"/>
        </w:rPr>
        <w:t>提升国际化旅游服务水平。</w:t>
      </w:r>
      <w:r>
        <w:rPr>
          <w:rStyle w:val="9"/>
          <w:rFonts w:hint="eastAsia" w:ascii="Times New Roman" w:hAnsi="Times New Roman" w:eastAsia="仿宋_GB2312" w:cs="Times New Roman"/>
          <w:b w:val="0"/>
          <w:bCs w:val="0"/>
          <w:color w:val="auto"/>
          <w:kern w:val="21"/>
          <w:sz w:val="32"/>
          <w:szCs w:val="22"/>
          <w:highlight w:val="none"/>
          <w:lang w:val="en-US" w:eastAsia="zh-CN" w:bidi="ar-SA"/>
        </w:rPr>
        <w:t>全年</w:t>
      </w:r>
      <w:r>
        <w:rPr>
          <w:rStyle w:val="9"/>
          <w:rFonts w:hint="default" w:ascii="Times New Roman" w:hAnsi="Times New Roman" w:eastAsia="仿宋_GB2312" w:cs="Times New Roman"/>
          <w:b w:val="0"/>
          <w:bCs w:val="0"/>
          <w:color w:val="auto"/>
          <w:kern w:val="21"/>
          <w:sz w:val="32"/>
          <w:szCs w:val="22"/>
          <w:highlight w:val="none"/>
          <w:lang w:val="en-US" w:eastAsia="zh-CN" w:bidi="ar-SA"/>
        </w:rPr>
        <w:t>投入0.</w:t>
      </w:r>
      <w:r>
        <w:rPr>
          <w:rStyle w:val="9"/>
          <w:rFonts w:hint="default" w:ascii="Times New Roman" w:hAnsi="Times New Roman" w:eastAsia="仿宋_GB2312" w:cs="Times New Roman"/>
          <w:b w:val="0"/>
          <w:bCs w:val="0"/>
          <w:color w:val="auto"/>
          <w:kern w:val="21"/>
          <w:sz w:val="32"/>
          <w:szCs w:val="22"/>
          <w:highlight w:val="none"/>
          <w:lang w:eastAsia="zh-CN" w:bidi="ar-SA"/>
        </w:rPr>
        <w:t>1</w:t>
      </w:r>
      <w:r>
        <w:rPr>
          <w:rStyle w:val="9"/>
          <w:rFonts w:hint="default" w:ascii="Times New Roman" w:hAnsi="Times New Roman" w:eastAsia="仿宋_GB2312" w:cs="Times New Roman"/>
          <w:b w:val="0"/>
          <w:bCs w:val="0"/>
          <w:color w:val="auto"/>
          <w:kern w:val="21"/>
          <w:sz w:val="32"/>
          <w:szCs w:val="22"/>
          <w:highlight w:val="none"/>
          <w:lang w:val="en-US" w:eastAsia="zh-CN" w:bidi="ar-SA"/>
        </w:rPr>
        <w:t>2亿元，推动三亚湾、西岛、天涯小镇旅游业态提质升级，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推动水蛟村、文门村、抱前村等一二三产融合项目，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/>
        </w:rPr>
        <w:t>适度开发乡村深度体验游，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打造具有天涯区特色的农文旅项目，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/>
        </w:rPr>
        <w:t>提升天涯区全域旅游发展内涵，推动旅游和文化、体育、农业、非遗等多个领域相融合。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推进高新技术产业发展。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依托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三度一色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优势，聚焦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五向图强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，充分发挥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六大园区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主战场作用，促进天涯经济结构优化升级，为天涯的经济发展注入新活力。一是持续推动高新技术产业发展，支持高新企业培育工程，加快构建现代产业体系，投入0.1亿元，深入推动紫金黄金产业园发展，做大做强黄金珠宝产业，加快形成产业集群；投入0.37亿元，支持梅村产业园推进基础设施建设和加快重大产业发展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（三）优结构惠民生，增强群众获得感</w:t>
      </w:r>
    </w:p>
    <w:p>
      <w:pPr>
        <w:pStyle w:val="11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hAnsi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聚焦重点压减非急需非刚性支出，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将资金</w:t>
      </w:r>
      <w:r>
        <w:rPr>
          <w:rFonts w:hint="eastAsia" w:hAnsi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集中投向民生领域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hAnsi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2024年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全区民生支出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17</w:t>
      </w:r>
      <w:r>
        <w:rPr>
          <w:rFonts w:hint="eastAsia" w:hAnsi="仿宋_GB2312" w:cs="仿宋_GB2312"/>
          <w:kern w:val="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6</w:t>
      </w:r>
      <w:r>
        <w:rPr>
          <w:rFonts w:hint="eastAsia" w:hAnsi="仿宋_GB2312" w:cs="仿宋_GB2312"/>
          <w:kern w:val="2"/>
          <w:sz w:val="32"/>
          <w:szCs w:val="32"/>
          <w:lang w:val="en-US" w:eastAsia="zh-CN"/>
        </w:rPr>
        <w:t>9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元，占全年支出的81.8%</w:t>
      </w:r>
      <w:r>
        <w:rPr>
          <w:rFonts w:hint="eastAsia" w:hAnsi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；安排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十大为民办实事资金</w:t>
      </w:r>
      <w:r>
        <w:rPr>
          <w:rFonts w:hint="eastAsia" w:hAnsi="仿宋_GB2312" w:cs="仿宋_GB2312"/>
          <w:color w:val="000000"/>
          <w:sz w:val="32"/>
          <w:szCs w:val="32"/>
          <w:highlight w:val="none"/>
          <w:lang w:val="en-US" w:eastAsia="zh-CN"/>
        </w:rPr>
        <w:t>0.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21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</w:t>
      </w:r>
      <w:r>
        <w:rPr>
          <w:rFonts w:hint="eastAsia" w:hAnsi="仿宋_GB2312" w:cs="仿宋_GB2312"/>
          <w:color w:val="00000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区级</w:t>
      </w:r>
      <w:r>
        <w:rPr>
          <w:rFonts w:hint="eastAsia" w:hAnsi="仿宋_GB2312" w:cs="仿宋_GB2312"/>
          <w:color w:val="000000"/>
          <w:sz w:val="32"/>
          <w:szCs w:val="32"/>
          <w:highlight w:val="none"/>
          <w:lang w:val="en-US" w:eastAsia="zh-CN"/>
        </w:rPr>
        <w:t>0.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hAnsi="仿宋_GB2312" w:cs="仿宋_GB2312"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</w:t>
      </w:r>
      <w:r>
        <w:rPr>
          <w:rFonts w:hint="eastAsia" w:hAnsi="仿宋_GB2312" w:cs="仿宋_GB2312"/>
          <w:color w:val="00000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中央配套100万元</w:t>
      </w:r>
      <w:r>
        <w:rPr>
          <w:rFonts w:hint="eastAsia" w:hAnsi="仿宋_GB2312" w:cs="仿宋_GB2312"/>
          <w:color w:val="00000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省级配套210万元</w:t>
      </w:r>
      <w:r>
        <w:rPr>
          <w:rFonts w:hint="eastAsia" w:hAnsi="仿宋_GB2312" w:cs="仿宋_GB2312"/>
          <w:color w:val="00000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市级配套140万元</w:t>
      </w:r>
      <w:r>
        <w:rPr>
          <w:rFonts w:hint="eastAsia" w:hAnsi="仿宋_GB2312" w:cs="仿宋_GB2312"/>
          <w:color w:val="000000"/>
          <w:sz w:val="32"/>
          <w:szCs w:val="32"/>
          <w:highlight w:val="none"/>
          <w:lang w:val="en-US" w:eastAsia="zh-CN"/>
        </w:rPr>
        <w:t>），推动民生实事落地见效，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保基本、兜底线、促公平的作用</w:t>
      </w:r>
      <w:r>
        <w:rPr>
          <w:rFonts w:hint="eastAsia" w:hAnsi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持续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突显。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</w:rPr>
        <w:t>社会保障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eastAsia="zh-CN"/>
        </w:rPr>
        <w:t>就业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val="en-US" w:eastAsia="zh-CN"/>
        </w:rPr>
        <w:t>稳步加强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落实就业优先战略，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投入2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67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同比增长13.3%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发放人才住房补贴730万元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就业补助资金788万元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重点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扶持高校毕业生、农村劳动力等重点群体就业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教育事业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优质均衡发展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272727"/>
          <w:sz w:val="32"/>
          <w:szCs w:val="32"/>
          <w:highlight w:val="none"/>
        </w:rPr>
        <w:t>坚持以“办人民满意的教育”为目标，全力推动教育事业高质量发展。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全年教育投入4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23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元，同比增长4.1%。下达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0.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元义务教育薄弱环节改善与能力提升补助资金，推动教育事业高质量发展。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文化事业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活力持续释放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加快构建现代公共文化服务体系，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投入0.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9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同比增长10.9%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用于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文化体育与传媒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领域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，安排200万元旅游业高质量发展奖补资金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助力省级夜间文化和旅游消费集聚区创建，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促进公共文化服务标准化均等化。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医疗卫生服务持续改善。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坚持以人民为中心，把全民健康放在优先发展的战略位置，投入1.17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用于卫生健康领域，深化医疗卫生体制改革，优化医疗资源配置，补齐基础设施短板，不断完善医疗卫生服务体系。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（四）守底线严管理，提升财政治理效能</w:t>
      </w:r>
    </w:p>
    <w:p>
      <w:pPr>
        <w:pStyle w:val="11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坚持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政府过“紧日子”</w:t>
      </w:r>
      <w:r>
        <w:rPr>
          <w:rFonts w:hint="eastAsia" w:ascii="Times New Roman" w:hAnsi="Times New Roman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ascii="Times New Roman" w:hAnsi="Times New Roman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严格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-SA"/>
        </w:rPr>
        <w:t>落实财税政策，</w:t>
      </w:r>
      <w:r>
        <w:rPr>
          <w:rFonts w:hint="eastAsia" w:ascii="Times New Roman" w:hAnsi="Times New Roman" w:cs="Times New Roman"/>
          <w:kern w:val="0"/>
          <w:sz w:val="32"/>
          <w:szCs w:val="32"/>
          <w:highlight w:val="none"/>
          <w:lang w:val="en-US" w:eastAsia="zh-CN" w:bidi="ar-SA"/>
        </w:rPr>
        <w:t>严控预算调整、调剂和追加，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严禁无预算、超预算支出</w:t>
      </w:r>
      <w:r>
        <w:rPr>
          <w:rFonts w:hint="eastAsia" w:hAnsi="仿宋_GB2312" w:cs="仿宋_GB2312"/>
          <w:kern w:val="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采购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坚持“资金跟着预算走、跟着项目走”，对未纳入预算或实施条件不成熟的项目收回资金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统筹用于“三保”</w:t>
      </w:r>
      <w:r>
        <w:rPr>
          <w:rFonts w:hint="eastAsia" w:hAnsi="仿宋_GB2312" w:cs="仿宋_GB2312"/>
          <w:kern w:val="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经济社会发展关键领域。加强财政资金监管</w:t>
      </w:r>
      <w:r>
        <w:rPr>
          <w:rFonts w:hint="eastAsia" w:hAnsi="仿宋_GB2312" w:cs="仿宋_GB2312"/>
          <w:kern w:val="2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督查，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</w:rPr>
        <w:t>本级非重点、非刚性支出压减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幅度</w:t>
      </w:r>
      <w:r>
        <w:rPr>
          <w:rFonts w:hint="eastAsia" w:hAnsi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较上年大幅提高，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资金使用效益</w:t>
      </w:r>
      <w:r>
        <w:rPr>
          <w:rFonts w:hint="eastAsia" w:hAnsi="仿宋_GB2312" w:cs="仿宋_GB2312"/>
          <w:kern w:val="2"/>
          <w:sz w:val="32"/>
          <w:szCs w:val="32"/>
          <w:lang w:val="en-US" w:eastAsia="zh-CN"/>
        </w:rPr>
        <w:t>显著提升</w:t>
      </w:r>
      <w:r>
        <w:rPr>
          <w:rFonts w:hint="eastAsia" w:ascii="仿宋_GB2312" w:hAnsi="仿宋_GB2312" w:eastAsia="仿宋_GB2312" w:cs="仿宋_GB2312"/>
          <w:snapToGrid w:val="0"/>
          <w:color w:val="000000"/>
          <w:kern w:val="0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财会监督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落实中办、国办《关于进一步加强财会监督工作的意见》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中办发〔2023〕4号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制定天涯区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加强财会监督的实施方案，开展财经纪律重点问题专项整治，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重点检查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红塘湾项目土地青苗补偿款及工作经费收支、惠民惠农财政补贴资金“一卡通”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、全区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41个部门绩效评价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构建“全方位、全过程、全覆盖”的监督体系，提升财政管理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规范化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水平。</w:t>
      </w:r>
    </w:p>
    <w:p>
      <w:pPr>
        <w:pStyle w:val="11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</w:rPr>
      </w:pPr>
      <w:r>
        <w:rPr>
          <w:rFonts w:hint="eastAsia" w:ascii="黑体" w:hAnsi="黑体" w:eastAsia="黑体" w:cs="黑体"/>
          <w:bCs/>
          <w:color w:val="auto"/>
          <w:lang w:val="en-US" w:eastAsia="zh-CN"/>
        </w:rPr>
        <w:t>四</w:t>
      </w:r>
      <w:r>
        <w:rPr>
          <w:rFonts w:hint="eastAsia" w:ascii="黑体" w:hAnsi="黑体" w:eastAsia="黑体" w:cs="黑体"/>
          <w:bCs/>
          <w:color w:val="auto"/>
        </w:rPr>
        <w:t>、2025年上半年财政预算执行主要成效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（一）财政收入稳步增长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财政收入保持稳步增长态势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在房企销售增长以及企业资产转让缴纳一次性税款的带动下，增值税、企</w:t>
      </w:r>
      <w:r>
        <w:rPr>
          <w:rFonts w:hint="eastAsia" w:ascii="仿宋_GB2312" w:hAnsi="仿宋_GB2312" w:eastAsia="仿宋_GB2312" w:cs="仿宋_GB2312"/>
          <w:sz w:val="32"/>
          <w:szCs w:val="32"/>
        </w:rPr>
        <w:t>业所得税等主体税种保持合理增速，体现了实体经济的韧性与潜力。同时，非税收入规范管理成效显著，在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强化非税监管、专项检查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等举措下，形成了与税收收入良性互补的格局，进一步夯实了财政收入基础。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上半年完成地方一般公共预算收入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10.52</w:t>
      </w:r>
      <w:r>
        <w:rPr>
          <w:rFonts w:hint="eastAsia" w:hAnsi="仿宋_GB2312" w:cs="仿宋_GB2312"/>
          <w:kern w:val="2"/>
          <w:sz w:val="32"/>
          <w:szCs w:val="32"/>
          <w:lang w:eastAsia="zh-CN"/>
        </w:rPr>
        <w:t>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元，同比增长17.2%，完成年初预算的70.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快于序时进度20.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个百分点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，上半年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财政收入的稳步增长，不仅增强了政府宏观调控能力，更在保障民生支出、支持重大战略实施等方面发挥了关键作用，为推动经济行稳致远注入了持续动力。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（二）聚焦民生领域建设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民生领域支出占比稳步提升，成为财政支出的“压舱石”。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上半年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，教育、医疗、社保等民生支出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8.73亿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元，占一般公共预算支出的78.4%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，同比增长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4.8%，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持续保持增速。义务教育经费保障机制不断完善，城乡义务教育公用经费标准动态调整，确保教育资源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均衡性发展，上半年教育累计支出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2.45亿元，同比增长13.7%</w:t>
      </w:r>
      <w:r>
        <w:rPr>
          <w:rFonts w:hint="eastAsia" w:ascii="仿宋_GB2312" w:hAnsi="仿宋_GB2312" w:eastAsia="仿宋_GB2312" w:cs="仿宋_GB2312"/>
          <w:sz w:val="32"/>
          <w:szCs w:val="32"/>
        </w:rPr>
        <w:t>；社会保障和就业支出精准发力，困难群众救助补助、人才住房补贴发放工作等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切实保障到位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，织密了民生安全网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，上半年社会保障和就业支出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0.9亿元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。支出结构的持续优化，既通过民生支出稳定社会预期、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又</w:t>
      </w:r>
      <w:r>
        <w:rPr>
          <w:rFonts w:hint="eastAsia" w:ascii="仿宋_GB2312" w:hAnsi="仿宋_GB2312" w:eastAsia="仿宋_GB2312" w:cs="仿宋_GB2312"/>
          <w:sz w:val="32"/>
          <w:szCs w:val="32"/>
        </w:rPr>
        <w:t>借助重点领域投入培育新动能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彰显了财政在统筹发展与安全中的重要作用。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（三）聚焦产业建设发展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助力农业建设发展。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加大对农业基础设施建设的投入，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上半年累计拨付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386万元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资金用于农田水利设施修缮、高标准农田建设等项目，改善农业生产条件。扶持特色农产品种植，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拨付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农业生产发展资金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万元，培育特色农产品品牌。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重点打造金谷产业园、紫金黄金珠宝产业园升级建设，打造千亿级产业园区，加速黄金珠宝、数字经济等特色产业，上半年安排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3.51亿元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专项债券资金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用于园区建设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坚持把旅游基础设施建设作为推动旅游业发展的重要支撑，持续加大资金投入力度，上半年，累计投入旅游基础设施建设资金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万元，不断完善旅游基础设施。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（四）坚持过“紧日子”思想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贯彻“过紧日子”要求，以严控非刚性支出为突破口，通过压减一般性开支、优化资源配置、强化预算约束，在节流增效中筑牢财政稳健运行根基，为重点领域支出提供了坚实保障。在压减非刚性支出方面，坚持“能省则省、应压尽压”，将有限财力用在“刀刃上”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2025年年初预算非刚性压减率达10.4%。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 xml:space="preserve"> （五）精准发力争取上级资金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始终将争取上级资金作为弥补财力缺口、支撑区域发展的重要抓手，通过精准对接政策、强化项目储备、完善争取机制，持续提升资金争取实效，为区域重点工作推进和民生福祉改善注入了强劲动力。上半年累计争取到上级资金9.44亿元，其中：市政府投资1.27亿元、市级土地储备1.65亿元、一般债券0.75亿元、专项债券5.16亿元、山水工程项目0.41亿元、国债0.2亿元。通过积极争取上级资金，既缓解了“钱从哪里来”的压力，更推动了一批群众期盼、发展急需的实事落地，为区域经济社会高质量发展提供了坚实的资金保障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（六）债务风险有效防控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全力防范化解债务风险，印发《关于进一步加强政府债务管理的通知》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严格执行政府债务限额管理和预算管理制度，规范政府举债融资行为。上半年，全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政府债务余额控制在限额以内，债务风险总体可控。积极争取上级债券资金支持，上半年争取新增债券资金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1.86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亿元，用于基础设施建设和民生项目，优化债务结构，降低融资成本。</w:t>
      </w:r>
    </w:p>
    <w:p>
      <w:pPr>
        <w:keepNext w:val="0"/>
        <w:keepLines w:val="0"/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zh-CN" w:eastAsia="zh-CN" w:bidi="ar-SA"/>
        </w:rPr>
        <w:t>总体来看，202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zh-CN" w:eastAsia="zh-CN" w:bidi="ar-SA"/>
        </w:rPr>
        <w:t>年上半年预算执行情况较好，税收收入持续健康发展。同时，我们也清醒地看到，预算执行和财政工作中还面临一些问题和挑战：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zh-CN" w:eastAsia="zh-CN" w:bidi="ar-SA"/>
        </w:rPr>
        <w:t>一是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zh-CN" w:eastAsia="zh-CN" w:bidi="ar-SA"/>
        </w:rPr>
        <w:t>财政收入依然面临较大不确定性。天涯区税收主要贡献还是以房地产土增税为主，房地产行业占全口径税收仍然较高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  <w:t>，行业并进发展还需持续发力。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zh-CN" w:eastAsia="zh-CN" w:bidi="ar-SA"/>
        </w:rPr>
        <w:t>二是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zh-CN" w:eastAsia="zh-CN" w:bidi="ar-SA"/>
        </w:rPr>
        <w:t>财政收支“紧平衡”矛盾持续加剧。各领域项目支出对财政资金的需求大幅增加，特别是刚性支出需求持续增长，保工资、保运转、保基本民生支出压力，个别重点项目库款保障能力有所下降。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  <w:lang w:val="zh-CN" w:eastAsia="zh-CN" w:bidi="ar-SA"/>
        </w:rPr>
        <w:t>三是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zh-CN" w:eastAsia="zh-CN" w:bidi="ar-SA"/>
        </w:rPr>
        <w:t>管财理财水平需进一步提高。在人大、审计等监督工作中，反映出财政财务管理中依然存在一些普遍性问题，主要是：部分单位在预算执行管理中，仍存在过“紧日子”思想不牢、项目未及时按轻重缓急排序、资金使用效益仍需提高等问题。</w:t>
      </w:r>
    </w:p>
    <w:p>
      <w:pPr>
        <w:pStyle w:val="11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</w:rPr>
      </w:pPr>
      <w:r>
        <w:rPr>
          <w:rFonts w:hint="eastAsia" w:ascii="黑体" w:hAnsi="黑体" w:eastAsia="黑体" w:cs="黑体"/>
          <w:bCs/>
          <w:color w:val="auto"/>
          <w:lang w:val="en-US" w:eastAsia="zh-CN"/>
        </w:rPr>
        <w:t>五</w:t>
      </w:r>
      <w:r>
        <w:rPr>
          <w:rFonts w:hint="eastAsia" w:ascii="黑体" w:hAnsi="黑体" w:eastAsia="黑体" w:cs="黑体"/>
          <w:bCs/>
          <w:color w:val="auto"/>
        </w:rPr>
        <w:t>、2025年下半年财政工作计划及措施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2025年是“十四五”规划收官之年，也是海南自贸港封关运作、扩大开放的关键之年。下半年，财政工作将以习近平新时代中国特色社会主义思想为指导，深入贯彻党的二十大精神，坚持稳中求进工作总基调，完整、准确、全面贯彻新发展理念，围绕区委、区政府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部署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重点做好以下工作：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（一）全力服务高质量发展大局。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实施积极财政政策，统筹用好各项政策工具，着力扩大内需，支持科技创新和现代化产业体系建设，优化营商环境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促进民营经济发展壮大，推动经济实现质的有效提升和量的合理增长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财政与产业、区域等政策的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协同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（二）开源节流确保财政平稳运行。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依法依规组织财政收入，落实好结构性减税降费政策，涵养培植优质税源。严格落实过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紧日子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要求，大力压减非急需非刚性支出，加强财政资源统筹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存量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盘活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强化预算约束，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杜绝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无预算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超预算支出。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（三）持续优化财政支出结构。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坚持有保有压，集中财力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贯彻执行区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、区政府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决策部署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重点民生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加大教育、科技、人才、乡村振兴、绿色发展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等领域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投入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严控非刚性支出。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（四）兜牢兜实基层“三保”底线。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进一步健全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级财力长效保障机制，加大财力下沉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强化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“三保”预算审核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执行监控，压实各级责任，确保“三保”支出优先足额落实到位。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（五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）</w:t>
      </w:r>
      <w:r>
        <w:rPr>
          <w:rFonts w:hint="default" w:ascii="楷体_GB2312" w:hAnsi="楷体_GB2312" w:eastAsia="楷体_GB2312" w:cs="楷体_GB2312"/>
          <w:bCs/>
          <w:color w:val="auto"/>
          <w:kern w:val="0"/>
          <w:sz w:val="32"/>
          <w:szCs w:val="32"/>
          <w:lang w:val="en-US" w:eastAsia="zh-CN" w:bidi="ar-SA"/>
        </w:rPr>
        <w:t>推进零基预算改革，建立现代化预算制度。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  <w:t>全面推进零基预算改革，强化财政预算全过程管理，打破支出固化僵化格局，加大支出结构优化力度，坚持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  <w:t>先有项目后有资金、注重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统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  <w:t>筹细化预算编制、重塑政策集中财力办大事、强化审核挤水分降成本、多措并举打破基数科学核定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  <w:t>，推进与绩效预算深度融合，切实增强区委、区政府决策部署保障能力。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8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楷体_GB2312" w:cs="Times New Roman"/>
          <w:b w:val="0"/>
          <w:bCs w:val="0"/>
          <w:color w:val="auto"/>
          <w:sz w:val="32"/>
          <w:szCs w:val="32"/>
          <w:lang w:val="en-US" w:eastAsia="zh-CN"/>
        </w:rPr>
        <w:t>（六）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lang w:val="en-US" w:eastAsia="zh-CN"/>
        </w:rPr>
        <w:t>持续防范化解债务风险。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落实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优化行政成本，坚持节用裕民，压减非重点非刚性支出。加强政府购买服务事项的管理，根据政府购买服务管理办法等文件要求，严格把控购买服务实施必要性和规模，降低政府运行成本。始终把防范化解政府债务风险作为重要工作任务，紧盯年度化债目标，确保完成年度化债任务。坚决杜绝新增政府隐性债务，严禁新增隐性债务新上项目、铺新摊子，加强地方债务管理监测监管，严禁违规新增暂付款，逐步化解存量暂付款，扎实推进审计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Times New Roman" w:hAnsi="Times New Roman" w:eastAsia="楷体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七</w:t>
      </w:r>
      <w:r>
        <w:rPr>
          <w:rFonts w:hint="default" w:ascii="Times New Roman" w:hAnsi="Times New Roman" w:eastAsia="楷体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）发挥好财会监督实效。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eastAsia="zh-CN"/>
        </w:rPr>
        <w:t>多渠道、全方位开展各类财会监督工作，重点对预算单位中资金规模大、群众关心、普惠性民生项目多的行业单位进行检查，持续整治违反财经纪律的各类突出问题。做好财政补贴</w:t>
      </w:r>
      <w:r>
        <w:rPr>
          <w:rFonts w:hint="eastAsia" w:ascii="Times New Roman" w:hAnsi="Times New Roman" w:cs="Times New Roman"/>
          <w:color w:val="auto"/>
          <w:spacing w:val="0"/>
          <w:kern w:val="21"/>
          <w:position w:val="0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eastAsia="zh-CN"/>
        </w:rPr>
        <w:t>一卡通</w:t>
      </w:r>
      <w:r>
        <w:rPr>
          <w:rFonts w:hint="eastAsia" w:ascii="Times New Roman" w:hAnsi="Times New Roman" w:cs="Times New Roman"/>
          <w:color w:val="auto"/>
          <w:spacing w:val="0"/>
          <w:kern w:val="21"/>
          <w:position w:val="0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eastAsia="zh-CN"/>
        </w:rPr>
        <w:t>发放监督工作，进一步规范惠民惠农补贴发放管理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val="en-US" w:eastAsia="zh-CN"/>
        </w:rPr>
        <w:t>。持续加强村（居）委会</w:t>
      </w:r>
      <w:r>
        <w:rPr>
          <w:rFonts w:hint="eastAsia" w:ascii="Times New Roman" w:hAnsi="Times New Roman" w:cs="Times New Roman"/>
          <w:color w:val="auto"/>
          <w:spacing w:val="0"/>
          <w:kern w:val="21"/>
          <w:position w:val="0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val="en-US" w:eastAsia="zh-CN"/>
        </w:rPr>
        <w:t>三资</w:t>
      </w:r>
      <w:r>
        <w:rPr>
          <w:rFonts w:hint="eastAsia" w:ascii="Times New Roman" w:hAnsi="Times New Roman" w:cs="Times New Roman"/>
          <w:color w:val="auto"/>
          <w:spacing w:val="0"/>
          <w:kern w:val="21"/>
          <w:position w:val="0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val="en-US" w:eastAsia="zh-CN"/>
        </w:rPr>
        <w:t>监管，加强培训，稳步提升村（居）委会财务管理水平，强化内部监督管理。</w:t>
      </w:r>
    </w:p>
    <w:p>
      <w:pPr>
        <w:pStyle w:val="5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val="en-US" w:eastAsia="zh-CN" w:bidi="ar-SA"/>
        </w:rPr>
        <w:t>主任、各位副主任、各位委员</w:t>
      </w:r>
      <w:r>
        <w:rPr>
          <w:rFonts w:hint="default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val="en-US" w:eastAsia="zh-CN"/>
        </w:rPr>
        <w:t>以上文件内容请审议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1"/>
          <w:position w:val="0"/>
          <w:sz w:val="32"/>
          <w:szCs w:val="32"/>
          <w:highlight w:val="none"/>
          <w:lang w:val="en-US" w:eastAsia="zh-CN" w:bidi="ar-SA"/>
        </w:rPr>
        <w:t>，下一步，我们将继续以习近平新时代中国特色社会主义思想为指导，自觉接受区人大及其常委会的监督，解放思想，敢闯敢试，积极发挥财政职能作用，勇于担当，求真务实，更加扎实地把省、市的各项决策部署落到实处，以实际行动贯彻党的二十大精神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A646B"/>
    <w:rsid w:val="032A27A9"/>
    <w:rsid w:val="03B34CAA"/>
    <w:rsid w:val="06965594"/>
    <w:rsid w:val="08687E25"/>
    <w:rsid w:val="08DA33D1"/>
    <w:rsid w:val="0C381561"/>
    <w:rsid w:val="0C7F385D"/>
    <w:rsid w:val="12BC21D3"/>
    <w:rsid w:val="191974BE"/>
    <w:rsid w:val="1A587E29"/>
    <w:rsid w:val="1B97790C"/>
    <w:rsid w:val="1CD92796"/>
    <w:rsid w:val="1D2C5CD9"/>
    <w:rsid w:val="1DFE5689"/>
    <w:rsid w:val="1EC17AC7"/>
    <w:rsid w:val="1FD23CEA"/>
    <w:rsid w:val="222D4D24"/>
    <w:rsid w:val="22784B29"/>
    <w:rsid w:val="29C4527D"/>
    <w:rsid w:val="29E54C6C"/>
    <w:rsid w:val="2B834295"/>
    <w:rsid w:val="2C32045E"/>
    <w:rsid w:val="2F5819E0"/>
    <w:rsid w:val="31A92CB1"/>
    <w:rsid w:val="31AC67E0"/>
    <w:rsid w:val="344B639D"/>
    <w:rsid w:val="362B67E1"/>
    <w:rsid w:val="362E7AC9"/>
    <w:rsid w:val="39864675"/>
    <w:rsid w:val="3B742F82"/>
    <w:rsid w:val="3D0D15B0"/>
    <w:rsid w:val="3DAF5E2F"/>
    <w:rsid w:val="43AF7E78"/>
    <w:rsid w:val="45374D2D"/>
    <w:rsid w:val="455C6DF5"/>
    <w:rsid w:val="46D860F6"/>
    <w:rsid w:val="47CA237A"/>
    <w:rsid w:val="50980F69"/>
    <w:rsid w:val="53222F99"/>
    <w:rsid w:val="562F7298"/>
    <w:rsid w:val="572B1CA0"/>
    <w:rsid w:val="57750E85"/>
    <w:rsid w:val="5C934EB1"/>
    <w:rsid w:val="60096646"/>
    <w:rsid w:val="634A646B"/>
    <w:rsid w:val="65694BE8"/>
    <w:rsid w:val="66C12F2A"/>
    <w:rsid w:val="6A1A22E6"/>
    <w:rsid w:val="6C4B3226"/>
    <w:rsid w:val="6EA05756"/>
    <w:rsid w:val="6F1372C4"/>
    <w:rsid w:val="6FF74305"/>
    <w:rsid w:val="71050791"/>
    <w:rsid w:val="76F916C1"/>
    <w:rsid w:val="797B6A2E"/>
    <w:rsid w:val="7A62217E"/>
    <w:rsid w:val="7B074647"/>
    <w:rsid w:val="7F63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</w:style>
  <w:style w:type="paragraph" w:styleId="3">
    <w:name w:val="table of authorities"/>
    <w:basedOn w:val="1"/>
    <w:next w:val="1"/>
    <w:qFormat/>
    <w:uiPriority w:val="0"/>
    <w:pPr>
      <w:widowControl w:val="0"/>
      <w:overflowPunct/>
      <w:autoSpaceDE/>
      <w:autoSpaceDN/>
      <w:adjustRightInd/>
      <w:ind w:left="420" w:leftChars="200"/>
      <w:textAlignment w:val="auto"/>
    </w:pPr>
    <w:rPr>
      <w:rFonts w:ascii="Calibri" w:hAnsi="Calibri" w:eastAsia="宋体" w:cs="Times New Roman"/>
      <w:kern w:val="2"/>
      <w:szCs w:val="22"/>
    </w:rPr>
  </w:style>
  <w:style w:type="paragraph" w:styleId="4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5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Times New Roman"/>
      <w:kern w:val="2"/>
      <w:sz w:val="21"/>
      <w:szCs w:val="21"/>
      <w:lang w:val="en-US" w:eastAsia="zh-CN" w:bidi="ar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正文缩进1"/>
    <w:basedOn w:val="1"/>
    <w:qFormat/>
    <w:uiPriority w:val="0"/>
    <w:pPr>
      <w:ind w:firstLine="420" w:firstLineChars="200"/>
    </w:pPr>
    <w:rPr>
      <w:rFonts w:ascii="Calibri" w:hAnsi="Calibri"/>
      <w:szCs w:val="24"/>
    </w:rPr>
  </w:style>
  <w:style w:type="paragraph" w:customStyle="1" w:styleId="11">
    <w:name w:val="p16"/>
    <w:basedOn w:val="1"/>
    <w:qFormat/>
    <w:uiPriority w:val="0"/>
    <w:pPr>
      <w:widowControl/>
    </w:pPr>
    <w:rPr>
      <w:rFonts w:ascii="仿宋_GB2312" w:hAnsi="宋体" w:eastAsia="仿宋_GB2312" w:cs="宋体"/>
      <w:kern w:val="0"/>
      <w:sz w:val="32"/>
      <w:szCs w:val="32"/>
    </w:rPr>
  </w:style>
  <w:style w:type="paragraph" w:customStyle="1" w:styleId="12">
    <w:name w:val="3 正文"/>
    <w:basedOn w:val="1"/>
    <w:qFormat/>
    <w:uiPriority w:val="0"/>
    <w:pPr>
      <w:spacing w:line="578" w:lineRule="exact"/>
      <w:ind w:firstLine="420" w:firstLineChars="200"/>
    </w:pPr>
    <w:rPr>
      <w:rFonts w:ascii="Times New Roman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天涯区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2025-07-22T10:00:00Z</dcterms:created>
  <dc:creator>蔡笃秀</dc:creator>
  <cp:lastModifiedBy>蔡笃秀</cp:lastModifiedBy>
  <cp:lastPrinted>2025-08-08T04:49:00Z</cp:lastPrinted>
  <dcterms:modified xsi:type="dcterms:W3CDTF">2025-09-16T02:08:13Z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