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南岛幼儿园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pPr>
        <w:jc w:val="center"/>
        <w:rPr>
          <w:rFonts w:ascii="黑体" w:hAnsi="ˎ̥" w:eastAsia="黑体" w:cs="Times New Roman"/>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南岛幼儿园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lang w:eastAsia="zh-CN"/>
        </w:rPr>
        <w:t>南岛</w:t>
      </w:r>
      <w:r>
        <w:rPr>
          <w:rFonts w:hint="eastAsia" w:ascii="黑体" w:hAnsi="ˎ̥" w:eastAsia="黑体" w:cs="Times New Roman"/>
          <w:kern w:val="0"/>
          <w:sz w:val="32"/>
          <w:szCs w:val="32"/>
        </w:rPr>
        <w:t>部分  三亚市天涯区</w:t>
      </w:r>
      <w:r>
        <w:rPr>
          <w:rFonts w:hint="eastAsia" w:ascii="黑体" w:hAnsi="ˎ̥" w:eastAsia="黑体" w:cs="Times New Roman"/>
          <w:kern w:val="0"/>
          <w:sz w:val="32"/>
          <w:szCs w:val="32"/>
          <w:lang w:val="en-US" w:eastAsia="zh-CN"/>
        </w:rPr>
        <w:t>南岛幼儿园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ˎ̥" w:eastAsia="黑体" w:cs="Times New Roman"/>
          <w:kern w:val="0"/>
          <w:sz w:val="32"/>
          <w:szCs w:val="32"/>
          <w:lang w:val="en-US" w:eastAsia="zh-CN"/>
        </w:rPr>
        <w:t>南岛幼儿园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pPr>
        <w:jc w:val="left"/>
        <w:rPr>
          <w:rFonts w:ascii="黑体" w:hAnsi="黑体" w:eastAsia="黑体" w:cs="黑体"/>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center"/>
        <w:rPr>
          <w:rFonts w:ascii="黑体" w:hAnsi="ˎ̥" w:eastAsia="黑体" w:cs="Times New Roman"/>
          <w:b/>
          <w:sz w:val="32"/>
          <w:szCs w:val="32"/>
        </w:rPr>
      </w:pPr>
    </w:p>
    <w:p>
      <w:pPr>
        <w:jc w:val="both"/>
        <w:rPr>
          <w:rFonts w:ascii="黑体" w:hAnsi="ˎ̥" w:eastAsia="黑体" w:cs="Times New Roman"/>
          <w:b/>
          <w:sz w:val="32"/>
          <w:szCs w:val="32"/>
        </w:rPr>
      </w:pPr>
    </w:p>
    <w:p>
      <w:pPr>
        <w:jc w:val="center"/>
        <w:rPr>
          <w:rFonts w:ascii="楷体" w:hAnsi="楷体" w:eastAsia="楷体" w:cs="楷体"/>
          <w:sz w:val="32"/>
          <w:szCs w:val="32"/>
        </w:rPr>
      </w:pPr>
      <w:bookmarkStart w:id="2" w:name="_Toc10049_WPSOffice_Level1"/>
      <w:bookmarkStart w:id="3" w:name="_Toc22941_WPSOffice_Level1"/>
      <w:bookmarkStart w:id="4" w:name="_Toc10720_WPSOffice_Level1"/>
      <w:bookmarkStart w:id="5" w:name="_Toc32433_WPSOffice_Level1"/>
      <w:bookmarkStart w:id="6" w:name="_Toc1704_WPSOffice_Level1"/>
      <w:bookmarkStart w:id="7" w:name="_Toc23465_WPSOffice_Level1"/>
      <w:bookmarkStart w:id="8" w:name="_Toc24238_WPSOffice_Level2"/>
      <w:bookmarkStart w:id="9" w:name="_Toc32622_WPSOffice_Level2"/>
      <w:bookmarkStart w:id="10" w:name="_Toc26580_WPSOffice_Level2"/>
      <w:bookmarkStart w:id="11" w:name="_Toc20274_WPSOffice_Level2"/>
      <w:bookmarkStart w:id="12" w:name="_Toc20205_WPSOffice_Level2"/>
      <w:bookmarkStart w:id="13" w:name="_Toc14159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南岛幼儿园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pPr>
        <w:pStyle w:val="10"/>
        <w:ind w:firstLineChars="0"/>
        <w:jc w:val="left"/>
        <w:rPr>
          <w:rFonts w:ascii="黑体" w:hAnsi="黑体" w:eastAsia="黑体" w:cs="仿宋_GB2312"/>
          <w:sz w:val="32"/>
          <w:szCs w:val="32"/>
        </w:rPr>
      </w:pPr>
      <w:bookmarkStart w:id="14" w:name="_Toc17796_WPSOffice_Level2"/>
      <w:bookmarkStart w:id="15" w:name="_Toc4833_WPSOffice_Level2"/>
      <w:bookmarkStart w:id="16" w:name="_Toc24059_WPSOffice_Level2"/>
      <w:bookmarkStart w:id="17" w:name="_Toc24474_WPSOffice_Level2"/>
      <w:bookmarkStart w:id="18" w:name="_Toc6572_WPSOffice_Level2"/>
      <w:r>
        <w:rPr>
          <w:rFonts w:hint="eastAsia" w:ascii="仿宋_GB2312" w:eastAsia="仿宋_GB2312"/>
          <w:color w:val="000000"/>
          <w:sz w:val="32"/>
          <w:szCs w:val="32"/>
          <w:shd w:val="clear" w:color="auto" w:fill="FFFFFF"/>
          <w:lang w:val="en-US" w:eastAsia="zh-CN"/>
        </w:rPr>
        <w:t>三亚市天涯区南岛幼儿园主要职能为幼儿教育</w:t>
      </w:r>
      <w:r>
        <w:rPr>
          <w:rFonts w:hint="eastAsia" w:ascii="仿宋_GB2312" w:eastAsia="仿宋_GB2312"/>
          <w:color w:val="000000"/>
          <w:sz w:val="32"/>
          <w:szCs w:val="32"/>
          <w:shd w:val="clear" w:color="auto" w:fill="FFFFFF"/>
        </w:rPr>
        <w:t>。</w:t>
      </w:r>
    </w:p>
    <w:p>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ˎ̥" w:eastAsia="仿宋_GB2312" w:cs="Times New Roman"/>
          <w:sz w:val="32"/>
          <w:szCs w:val="32"/>
        </w:rPr>
      </w:pPr>
      <w:bookmarkStart w:id="19" w:name="_Toc28253_WPSOffice_Level1"/>
      <w:bookmarkStart w:id="20" w:name="_Toc30690_WPSOffice_Level1"/>
      <w:bookmarkStart w:id="21" w:name="_Toc6234_WPSOffice_Level1"/>
      <w:bookmarkStart w:id="22" w:name="_Toc30451_WPSOffice_Level1"/>
      <w:bookmarkStart w:id="23" w:name="_Toc8164_WPSOffice_Level1"/>
      <w:bookmarkStart w:id="24" w:name="_Toc15521_WPSOffice_Level1"/>
      <w:bookmarkStart w:id="25" w:name="_Toc32695_WPSOffice_Level2"/>
      <w:bookmarkStart w:id="26" w:name="_Toc8867_WPSOffice_Level2"/>
      <w:bookmarkStart w:id="27" w:name="_Toc6211_WPSOffice_Level2"/>
      <w:bookmarkStart w:id="28" w:name="_Toc4029_WPSOffice_Level2"/>
      <w:bookmarkStart w:id="29" w:name="_Toc11518_WPSOffice_Level2"/>
      <w:bookmarkStart w:id="30" w:name="_Toc32472_WPSOffice_Level2"/>
      <w:r>
        <w:rPr>
          <w:rFonts w:hint="eastAsia" w:ascii="仿宋_GB2312" w:hAnsi="ˎ̥" w:eastAsia="仿宋_GB2312" w:cs="Times New Roman"/>
          <w:sz w:val="32"/>
          <w:szCs w:val="32"/>
        </w:rPr>
        <w:t>单位内设机构即包括：</w:t>
      </w:r>
    </w:p>
    <w:p>
      <w:pPr>
        <w:ind w:firstLine="640" w:firstLineChars="200"/>
        <w:rPr>
          <w:rFonts w:hint="default" w:ascii="楷体" w:hAnsi="楷体" w:eastAsia="楷体" w:cs="楷体"/>
          <w:sz w:val="32"/>
          <w:szCs w:val="32"/>
          <w:lang w:val="en-US" w:eastAsia="zh-CN"/>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pPr>
        <w:ind w:firstLine="640" w:firstLineChars="200"/>
        <w:rPr>
          <w:rFonts w:hint="eastAsia" w:ascii="楷体" w:hAnsi="楷体" w:eastAsia="楷体" w:cs="楷体"/>
          <w:sz w:val="32"/>
          <w:szCs w:val="32"/>
          <w:lang w:val="en-US" w:eastAsia="zh-CN"/>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pPr>
        <w:jc w:val="center"/>
        <w:rPr>
          <w:rFonts w:ascii="黑体" w:hAnsi="ˎ̥" w:eastAsia="黑体" w:cs="Times New Roman"/>
          <w:sz w:val="32"/>
          <w:szCs w:val="32"/>
        </w:rPr>
      </w:pPr>
      <w:r>
        <w:rPr>
          <w:rFonts w:hint="eastAsia" w:ascii="黑体" w:hAnsi="ˎ̥" w:eastAsia="黑体" w:cs="Times New Roman"/>
          <w:sz w:val="32"/>
          <w:szCs w:val="32"/>
          <w:lang w:eastAsia="zh-CN"/>
        </w:rPr>
        <w:t>南岛</w:t>
      </w:r>
      <w:r>
        <w:rPr>
          <w:rFonts w:hint="eastAsia" w:ascii="黑体" w:hAnsi="ˎ̥" w:eastAsia="黑体" w:cs="Times New Roman"/>
          <w:sz w:val="32"/>
          <w:szCs w:val="32"/>
        </w:rPr>
        <w:t>部分  三亚市天涯区</w:t>
      </w:r>
      <w:r>
        <w:rPr>
          <w:rFonts w:hint="eastAsia" w:ascii="黑体" w:hAnsi="ˎ̥" w:eastAsia="黑体" w:cs="Times New Roman"/>
          <w:sz w:val="32"/>
          <w:szCs w:val="32"/>
          <w:lang w:val="en-US" w:eastAsia="zh-CN"/>
        </w:rPr>
        <w:t>南岛幼儿园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ascii="黑体" w:hAnsi="黑体" w:eastAsia="黑体" w:cs="黑体"/>
          <w:sz w:val="32"/>
          <w:szCs w:val="32"/>
        </w:rPr>
      </w:pPr>
      <w:bookmarkStart w:id="35" w:name="_Toc26621_WPSOffice_Level2"/>
      <w:bookmarkStart w:id="36" w:name="_Toc25608_WPSOffice_Level2"/>
      <w:bookmarkStart w:id="37" w:name="_Toc23139_WPSOffice_Level2"/>
      <w:bookmarkStart w:id="38" w:name="_Toc30334_WPSOffice_Level2"/>
      <w:bookmarkStart w:id="39" w:name="_Toc14349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pPr>
        <w:ind w:firstLine="645"/>
        <w:rPr>
          <w:rFonts w:ascii="黑体" w:hAnsi="黑体" w:eastAsia="黑体" w:cs="黑体"/>
          <w:sz w:val="32"/>
          <w:szCs w:val="32"/>
        </w:rPr>
      </w:pPr>
      <w:bookmarkStart w:id="41" w:name="_Toc17626_WPSOffice_Level2"/>
      <w:bookmarkStart w:id="42" w:name="_Toc17858_WPSOffice_Level2"/>
      <w:bookmarkStart w:id="43" w:name="_Toc3262_WPSOffice_Level2"/>
      <w:bookmarkStart w:id="44" w:name="_Toc14658_WPSOffice_Level2"/>
      <w:bookmarkStart w:id="45" w:name="_Toc5489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pPr>
        <w:ind w:firstLine="645"/>
        <w:rPr>
          <w:rFonts w:ascii="黑体" w:hAnsi="黑体" w:eastAsia="黑体" w:cs="黑体"/>
          <w:sz w:val="32"/>
          <w:szCs w:val="32"/>
        </w:rPr>
      </w:pPr>
      <w:bookmarkStart w:id="47" w:name="_Toc23591_WPSOffice_Level2"/>
      <w:bookmarkStart w:id="48" w:name="_Toc21415_WPSOffice_Level2"/>
      <w:bookmarkStart w:id="49" w:name="_Toc13701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pPr>
        <w:ind w:firstLine="645"/>
        <w:rPr>
          <w:rFonts w:ascii="黑体" w:hAnsi="黑体" w:eastAsia="黑体" w:cs="黑体"/>
          <w:sz w:val="32"/>
          <w:szCs w:val="32"/>
        </w:rPr>
      </w:pPr>
      <w:bookmarkStart w:id="53" w:name="_Toc7879_WPSOffice_Level2"/>
      <w:bookmarkStart w:id="54" w:name="_Toc22783_WPSOffice_Level2"/>
      <w:bookmarkStart w:id="55" w:name="_Toc25166_WPSOffice_Level2"/>
      <w:bookmarkStart w:id="56" w:name="_Toc23829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pPr>
        <w:ind w:firstLine="645"/>
        <w:rPr>
          <w:rFonts w:ascii="黑体" w:hAnsi="黑体" w:eastAsia="黑体" w:cs="黑体"/>
          <w:sz w:val="32"/>
          <w:szCs w:val="32"/>
        </w:rPr>
      </w:pPr>
      <w:bookmarkStart w:id="59" w:name="_Toc2632_WPSOffice_Level2"/>
      <w:bookmarkStart w:id="60" w:name="_Toc17283_WPSOffice_Level2"/>
      <w:bookmarkStart w:id="61" w:name="_Toc5343_WPSOffice_Level2"/>
      <w:bookmarkStart w:id="62" w:name="_Toc17833_WPSOffice_Level2"/>
      <w:bookmarkStart w:id="63" w:name="_Toc8373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pPr>
        <w:ind w:left="1118" w:leftChars="304" w:hanging="480" w:hangingChars="150"/>
        <w:rPr>
          <w:rFonts w:ascii="黑体" w:hAnsi="黑体" w:eastAsia="黑体" w:cs="黑体"/>
          <w:sz w:val="32"/>
          <w:szCs w:val="32"/>
        </w:rPr>
      </w:pPr>
      <w:bookmarkStart w:id="65" w:name="_Toc11799_WPSOffice_Level2"/>
      <w:bookmarkStart w:id="66" w:name="_Toc5594_WPSOffice_Level2"/>
      <w:bookmarkStart w:id="67" w:name="_Toc13345_WPSOffice_Level2"/>
      <w:bookmarkStart w:id="68" w:name="_Toc21310_WPSOffice_Level2"/>
      <w:bookmarkStart w:id="69" w:name="_Toc6020_WPSOffice_Level2"/>
      <w:bookmarkStart w:id="70" w:name="_Toc1533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pPr>
        <w:rPr>
          <w:rFonts w:ascii="黑体" w:hAnsi="黑体" w:eastAsia="黑体" w:cs="黑体"/>
          <w:sz w:val="32"/>
          <w:szCs w:val="32"/>
        </w:rPr>
      </w:pPr>
      <w:bookmarkStart w:id="71" w:name="_Toc1820_WPSOffice_Level2"/>
      <w:bookmarkStart w:id="72" w:name="_Toc19961_WPSOffice_Level2"/>
      <w:bookmarkStart w:id="73" w:name="_Toc9377_WPSOffice_Level2"/>
      <w:bookmarkStart w:id="74" w:name="_Toc29886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pPr>
        <w:jc w:val="center"/>
        <w:rPr>
          <w:rFonts w:ascii="黑体" w:hAnsi="ˎ̥" w:eastAsia="黑体" w:cs="Times New Roman"/>
          <w:sz w:val="32"/>
          <w:szCs w:val="32"/>
        </w:rPr>
      </w:pPr>
      <w:bookmarkStart w:id="75" w:name="_Toc27590_WPSOffice_Level1"/>
      <w:bookmarkStart w:id="76" w:name="_Toc28629_WPSOffice_Level1"/>
      <w:bookmarkStart w:id="77" w:name="_Toc4402_WPSOffice_Level1"/>
      <w:bookmarkStart w:id="78" w:name="_Toc31264_WPSOffice_Level1"/>
      <w:bookmarkStart w:id="79" w:name="_Toc29683_WPSOffice_Level1"/>
      <w:bookmarkStart w:id="80" w:name="_Toc16686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南岛幼儿园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w:t>
      </w:r>
      <w:bookmarkStart w:id="81" w:name="OLE_LINK1"/>
      <w:r>
        <w:rPr>
          <w:rFonts w:hint="eastAsia" w:ascii="仿宋_GB2312" w:hAnsi="ˎ̥" w:eastAsia="仿宋_GB2312" w:cs="Times New Roman"/>
          <w:sz w:val="32"/>
          <w:szCs w:val="32"/>
          <w:highlight w:val="none"/>
          <w:lang w:val="en-US" w:eastAsia="zh-CN"/>
        </w:rPr>
        <w:t>343.58</w:t>
      </w:r>
      <w:bookmarkEnd w:id="81"/>
      <w:r>
        <w:rPr>
          <w:rFonts w:hint="eastAsia" w:ascii="仿宋_GB2312" w:hAnsi="ˎ̥" w:eastAsia="仿宋_GB2312" w:cs="Times New Roman"/>
          <w:sz w:val="32"/>
          <w:szCs w:val="32"/>
          <w:highlight w:val="none"/>
          <w:lang w:val="en-US" w:eastAsia="zh-CN"/>
        </w:rPr>
        <w:t>万元，支出总计343.58万元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w:t>
      </w:r>
      <w:bookmarkStart w:id="82" w:name="OLE_LINK2"/>
      <w:r>
        <w:rPr>
          <w:rFonts w:hint="eastAsia" w:ascii="仿宋_GB2312" w:hAnsi="ˎ̥" w:eastAsia="仿宋_GB2312" w:cs="Times New Roman"/>
          <w:sz w:val="32"/>
          <w:szCs w:val="32"/>
          <w:lang w:val="en-US" w:eastAsia="zh-CN"/>
        </w:rPr>
        <w:t>79.25</w:t>
      </w:r>
      <w:bookmarkEnd w:id="82"/>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w:t>
      </w:r>
      <w:bookmarkStart w:id="83" w:name="OLE_LINK3"/>
      <w:r>
        <w:rPr>
          <w:rFonts w:hint="eastAsia" w:ascii="仿宋_GB2312" w:hAnsi="ˎ̥" w:eastAsia="仿宋_GB2312" w:cs="Times New Roman"/>
          <w:sz w:val="32"/>
          <w:szCs w:val="32"/>
          <w:lang w:val="en-US" w:eastAsia="zh-CN"/>
        </w:rPr>
        <w:t>76.93</w:t>
      </w:r>
      <w:bookmarkEnd w:id="83"/>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增加10.72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增加76.93</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343.58</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343.58</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343.58</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86.19</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25.08</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257.39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占74.91%</w:t>
      </w:r>
      <w:r>
        <w:rPr>
          <w:rFonts w:hint="eastAsia" w:ascii="仿宋_GB2312" w:hAnsi="ˎ̥" w:eastAsia="仿宋_GB2312" w:cs="Times New Roman"/>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2023年度财政拨款收入总计343.58万元，支出总计343.58万元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w:t>
      </w:r>
      <w:bookmarkStart w:id="84" w:name="OLE_LINK4"/>
      <w:r>
        <w:rPr>
          <w:rFonts w:hint="eastAsia" w:ascii="仿宋_GB2312" w:hAnsi="ˎ̥" w:eastAsia="仿宋_GB2312" w:cs="Times New Roman"/>
          <w:sz w:val="32"/>
          <w:szCs w:val="32"/>
          <w:lang w:val="en-US" w:eastAsia="zh-CN"/>
        </w:rPr>
        <w:t>79.25</w:t>
      </w:r>
      <w:bookmarkEnd w:id="84"/>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w:t>
      </w:r>
      <w:r>
        <w:rPr>
          <w:rFonts w:hint="eastAsia" w:ascii="仿宋_GB2312" w:hAnsi="ˎ̥" w:eastAsia="仿宋_GB2312" w:cs="Times New Roman"/>
          <w:sz w:val="32"/>
          <w:szCs w:val="32"/>
          <w:lang w:val="en-US" w:eastAsia="zh-CN"/>
        </w:rPr>
        <w:t>76.93</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w:t>
      </w:r>
      <w:bookmarkStart w:id="85" w:name="OLE_LINK5"/>
      <w:r>
        <w:rPr>
          <w:rFonts w:hint="eastAsia" w:ascii="仿宋_GB2312" w:hAnsi="ˎ̥" w:eastAsia="仿宋_GB2312" w:cs="Times New Roman"/>
          <w:sz w:val="32"/>
          <w:szCs w:val="32"/>
          <w:lang w:val="en-US" w:eastAsia="zh-CN"/>
        </w:rPr>
        <w:t>79.25</w:t>
      </w:r>
      <w:bookmarkEnd w:id="85"/>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w:t>
      </w:r>
      <w:bookmarkStart w:id="86" w:name="OLE_LINK6"/>
      <w:r>
        <w:rPr>
          <w:rFonts w:hint="eastAsia" w:ascii="仿宋_GB2312" w:hAnsi="ˎ̥" w:eastAsia="仿宋_GB2312" w:cs="Times New Roman"/>
          <w:sz w:val="32"/>
          <w:szCs w:val="32"/>
          <w:highlight w:val="none"/>
          <w:lang w:val="en-US" w:eastAsia="zh-CN"/>
        </w:rPr>
        <w:t>29.98</w:t>
      </w:r>
      <w:bookmarkEnd w:id="86"/>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ascii="楷体" w:hAnsi="楷体" w:eastAsia="楷体" w:cs="楷体"/>
          <w:sz w:val="32"/>
          <w:szCs w:val="32"/>
        </w:rPr>
      </w:pPr>
      <w:bookmarkStart w:id="87" w:name="_Toc13694_WPSOffice_Level2"/>
      <w:bookmarkStart w:id="88" w:name="_Toc17398_WPSOffice_Level2"/>
      <w:bookmarkStart w:id="89" w:name="_Toc23005_WPSOffice_Level2"/>
      <w:bookmarkStart w:id="90" w:name="_Toc21737_WPSOffice_Level2"/>
      <w:bookmarkStart w:id="91" w:name="_Toc9989_WPSOffice_Level2"/>
      <w:bookmarkStart w:id="92" w:name="_Toc19665_WPSOffice_Level2"/>
      <w:r>
        <w:rPr>
          <w:rFonts w:hint="eastAsia" w:ascii="楷体" w:hAnsi="楷体" w:eastAsia="楷体" w:cs="楷体"/>
          <w:sz w:val="32"/>
          <w:szCs w:val="32"/>
        </w:rPr>
        <w:t>（一）一般公共预算财政拨款支出决算总体情况</w:t>
      </w:r>
      <w:bookmarkEnd w:id="87"/>
      <w:bookmarkEnd w:id="88"/>
      <w:r>
        <w:rPr>
          <w:rFonts w:hint="eastAsia" w:ascii="楷体" w:hAnsi="楷体" w:eastAsia="楷体" w:cs="楷体"/>
          <w:sz w:val="32"/>
          <w:szCs w:val="32"/>
        </w:rPr>
        <w:t>。</w:t>
      </w:r>
      <w:bookmarkEnd w:id="89"/>
      <w:bookmarkEnd w:id="90"/>
      <w:bookmarkEnd w:id="91"/>
      <w:bookmarkEnd w:id="92"/>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343.58</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93" w:name="_Toc18793_WPSOffice_Level2"/>
      <w:bookmarkStart w:id="94" w:name="_Toc2711_WPSOffice_Level2"/>
      <w:bookmarkStart w:id="95" w:name="_Toc27767_WPSOffice_Level2"/>
      <w:bookmarkStart w:id="96" w:name="_Toc23864_WPSOffice_Level2"/>
      <w:bookmarkStart w:id="97" w:name="_Toc19075_WPSOffice_Level2"/>
      <w:bookmarkStart w:id="98" w:name="_Toc19535_WPSOffice_Level2"/>
      <w:r>
        <w:rPr>
          <w:rFonts w:hint="eastAsia" w:ascii="仿宋_GB2312" w:hAnsi="ˎ̥" w:eastAsia="仿宋_GB2312" w:cs="Times New Roman"/>
          <w:sz w:val="32"/>
          <w:szCs w:val="32"/>
          <w:lang w:val="en-US" w:eastAsia="zh-CN"/>
        </w:rPr>
        <w:t>增加79.25</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w:t>
      </w:r>
      <w:r>
        <w:rPr>
          <w:rFonts w:hint="eastAsia" w:ascii="仿宋_GB2312" w:hAnsi="ˎ̥" w:eastAsia="仿宋_GB2312" w:cs="Times New Roman"/>
          <w:sz w:val="32"/>
          <w:szCs w:val="32"/>
          <w:highlight w:val="none"/>
          <w:lang w:val="en-US" w:eastAsia="zh-CN"/>
        </w:rPr>
        <w:t>29.98</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93"/>
      <w:bookmarkEnd w:id="94"/>
      <w:r>
        <w:rPr>
          <w:rFonts w:hint="eastAsia" w:ascii="楷体" w:hAnsi="楷体" w:eastAsia="楷体" w:cs="楷体"/>
          <w:sz w:val="32"/>
          <w:szCs w:val="32"/>
        </w:rPr>
        <w:t>。</w:t>
      </w:r>
      <w:bookmarkEnd w:id="95"/>
      <w:bookmarkEnd w:id="96"/>
      <w:bookmarkEnd w:id="97"/>
      <w:bookmarkEnd w:id="98"/>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343.58</w:t>
      </w:r>
      <w:r>
        <w:rPr>
          <w:rFonts w:hint="eastAsia" w:ascii="仿宋_GB2312" w:hAnsi="ˎ̥" w:eastAsia="仿宋_GB2312" w:cs="Times New Roman"/>
          <w:sz w:val="32"/>
          <w:szCs w:val="32"/>
        </w:rPr>
        <w:t>万元，主要用于以下方面：</w:t>
      </w:r>
      <w:r>
        <w:rPr>
          <w:rFonts w:hint="eastAsia" w:ascii="仿宋_GB2312" w:hAnsi="ˎ̥" w:eastAsia="仿宋_GB2312" w:cs="Times New Roman"/>
          <w:b/>
          <w:bCs/>
          <w:sz w:val="32"/>
          <w:szCs w:val="32"/>
          <w:lang w:val="en-US" w:eastAsia="zh-CN"/>
        </w:rPr>
        <w:t>工资福利</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85.26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24.81</w:t>
      </w:r>
      <w:r>
        <w:rPr>
          <w:rFonts w:hint="eastAsia" w:ascii="仿宋_GB2312" w:hAnsi="ˎ̥" w:eastAsia="仿宋_GB2312" w:cs="Times New Roman"/>
          <w:sz w:val="32"/>
          <w:szCs w:val="32"/>
        </w:rPr>
        <w:t>%；</w:t>
      </w:r>
      <w:r>
        <w:rPr>
          <w:rFonts w:hint="eastAsia" w:ascii="仿宋_GB2312" w:hAnsi="ˎ̥" w:eastAsia="仿宋_GB2312" w:cs="Times New Roman"/>
          <w:b/>
          <w:bCs/>
          <w:sz w:val="32"/>
          <w:szCs w:val="32"/>
          <w:lang w:val="en-US" w:eastAsia="zh-CN"/>
        </w:rPr>
        <w:t>商品和服务</w:t>
      </w:r>
      <w:r>
        <w:rPr>
          <w:rFonts w:hint="eastAsia" w:ascii="仿宋_GB2312" w:hAnsi="ˎ̥" w:eastAsia="仿宋_GB2312" w:cs="Times New Roman"/>
          <w:sz w:val="32"/>
          <w:szCs w:val="32"/>
          <w:lang w:val="en-US" w:eastAsia="zh-CN"/>
        </w:rPr>
        <w:t>支出</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0.93</w:t>
      </w:r>
      <w:r>
        <w:rPr>
          <w:rFonts w:hint="eastAsia" w:ascii="仿宋_GB2312" w:hAnsi="ˎ̥" w:eastAsia="仿宋_GB2312" w:cs="Times New Roman"/>
          <w:sz w:val="32"/>
          <w:szCs w:val="32"/>
        </w:rPr>
        <w:t>万元</w:t>
      </w:r>
      <w:bookmarkStart w:id="99" w:name="_Toc29364_WPSOffice_Level2"/>
      <w:bookmarkStart w:id="100" w:name="_Toc22318_WPSOffice_Level2"/>
      <w:bookmarkStart w:id="101" w:name="_Toc9502_WPSOffice_Level2"/>
      <w:bookmarkStart w:id="102" w:name="_Toc21701_WPSOffice_Level2"/>
      <w:bookmarkStart w:id="103" w:name="_Toc15415_WPSOffice_Level2"/>
      <w:bookmarkStart w:id="104" w:name="_Toc25136_WPSOffice_Level2"/>
    </w:p>
    <w:p>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9"/>
      <w:bookmarkEnd w:id="100"/>
      <w:bookmarkEnd w:id="101"/>
      <w:bookmarkEnd w:id="102"/>
      <w:bookmarkEnd w:id="103"/>
      <w:bookmarkEnd w:id="104"/>
    </w:p>
    <w:p>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3</w:t>
      </w:r>
      <w:r>
        <w:rPr>
          <w:rFonts w:hint="eastAsia" w:ascii="仿宋_GB2312" w:hAnsi="ˎ̥" w:eastAsia="仿宋_GB2312" w:cs="Times New Roman"/>
          <w:sz w:val="32"/>
          <w:szCs w:val="32"/>
          <w:highlight w:val="none"/>
        </w:rPr>
        <w:t>年度一般公共预算财政拨款支出年初预算为</w:t>
      </w:r>
      <w:r>
        <w:rPr>
          <w:rFonts w:hint="eastAsia" w:ascii="仿宋_GB2312" w:hAnsi="ˎ̥" w:eastAsia="仿宋_GB2312" w:cs="Times New Roman"/>
          <w:sz w:val="32"/>
          <w:szCs w:val="32"/>
          <w:highlight w:val="none"/>
          <w:lang w:val="en-US" w:eastAsia="zh-CN"/>
        </w:rPr>
        <w:t>343.58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343.58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343.58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313.36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91.20</w:t>
      </w:r>
      <w:r>
        <w:rPr>
          <w:rFonts w:hint="eastAsia" w:ascii="仿宋_GB2312" w:hAnsi="ˎ̥" w:eastAsia="仿宋_GB2312" w:cs="Times New Roman"/>
          <w:sz w:val="32"/>
          <w:szCs w:val="32"/>
          <w:highlight w:val="none"/>
        </w:rPr>
        <w:t>%。</w:t>
      </w:r>
    </w:p>
    <w:p>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8.01</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8.01</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15</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7.03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46.86</w:t>
      </w:r>
      <w:r>
        <w:rPr>
          <w:rFonts w:hint="eastAsia" w:ascii="仿宋_GB2312" w:hAnsi="ˎ̥" w:eastAsia="仿宋_GB2312" w:cs="Times New Roman"/>
          <w:sz w:val="32"/>
          <w:szCs w:val="32"/>
          <w:highlight w:val="none"/>
        </w:rPr>
        <w:t>%。</w:t>
      </w:r>
    </w:p>
    <w:p>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8.93</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8.93</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5.31</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5.31</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6.26</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6.26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86.19</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工资福利支出85.26</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主要包括：基本工资、津贴补贴、绩效工资、机关事业单位基本养老保险缴费、职业年金缴费、基本医疗保险缴费、公务员医疗补助缴费、其他社会保障缴费、住房公积金和其他工资福利支出</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商品和服务支出0.93</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邮电费、工会经费和其他商品和服务支出</w:t>
      </w:r>
      <w:r>
        <w:rPr>
          <w:rFonts w:hint="eastAsia" w:ascii="仿宋_GB2312" w:hAnsi="ˎ̥" w:eastAsia="仿宋_GB2312" w:cs="Times New Roman"/>
          <w:sz w:val="32"/>
          <w:szCs w:val="32"/>
        </w:rPr>
        <w:t>。</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pPr>
        <w:ind w:firstLine="643" w:firstLineChars="200"/>
        <w:rPr>
          <w:rFonts w:ascii="楷体" w:hAnsi="楷体" w:eastAsia="楷体" w:cs="楷体"/>
          <w:b/>
          <w:sz w:val="32"/>
          <w:szCs w:val="32"/>
        </w:rPr>
      </w:pPr>
      <w:bookmarkStart w:id="105" w:name="_Toc23598_WPSOffice_Level2"/>
      <w:bookmarkStart w:id="106" w:name="_Toc15262_WPSOffice_Level2"/>
      <w:bookmarkStart w:id="107" w:name="_Toc18325_WPSOffice_Level2"/>
      <w:bookmarkStart w:id="108" w:name="_Toc5978_WPSOffice_Level2"/>
      <w:bookmarkStart w:id="109" w:name="_Toc15565_WPSOffice_Level2"/>
      <w:bookmarkStart w:id="110" w:name="_Toc32639_WPSOffice_Level2"/>
      <w:r>
        <w:rPr>
          <w:rFonts w:hint="eastAsia" w:ascii="楷体" w:hAnsi="楷体" w:eastAsia="楷体" w:cs="楷体"/>
          <w:b/>
          <w:sz w:val="32"/>
          <w:szCs w:val="32"/>
        </w:rPr>
        <w:t>（一）机关运行经费支出情况。</w:t>
      </w:r>
      <w:bookmarkEnd w:id="105"/>
      <w:bookmarkEnd w:id="106"/>
      <w:bookmarkEnd w:id="107"/>
      <w:bookmarkEnd w:id="108"/>
      <w:bookmarkEnd w:id="109"/>
      <w:bookmarkEnd w:id="110"/>
    </w:p>
    <w:p>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南岛幼儿园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pPr>
        <w:ind w:firstLine="643" w:firstLineChars="200"/>
        <w:rPr>
          <w:rFonts w:ascii="楷体" w:hAnsi="楷体" w:eastAsia="楷体" w:cs="楷体"/>
          <w:b/>
          <w:sz w:val="32"/>
          <w:szCs w:val="32"/>
        </w:rPr>
      </w:pPr>
      <w:bookmarkStart w:id="111" w:name="_Toc13084_WPSOffice_Level2"/>
      <w:bookmarkStart w:id="112" w:name="_Toc3131_WPSOffice_Level2"/>
      <w:bookmarkStart w:id="113" w:name="_Toc30383_WPSOffice_Level2"/>
      <w:bookmarkStart w:id="114" w:name="_Toc23966_WPSOffice_Level2"/>
      <w:bookmarkStart w:id="115" w:name="_Toc32689_WPSOffice_Level2"/>
      <w:bookmarkStart w:id="116" w:name="_Toc25333_WPSOffice_Level2"/>
      <w:r>
        <w:rPr>
          <w:rFonts w:hint="eastAsia" w:ascii="楷体" w:hAnsi="楷体" w:eastAsia="楷体" w:cs="楷体"/>
          <w:b/>
          <w:sz w:val="32"/>
          <w:szCs w:val="32"/>
        </w:rPr>
        <w:t>（二）政府采购支出情况。</w:t>
      </w:r>
      <w:bookmarkEnd w:id="111"/>
      <w:bookmarkEnd w:id="112"/>
      <w:bookmarkEnd w:id="113"/>
      <w:bookmarkEnd w:id="114"/>
      <w:bookmarkEnd w:id="115"/>
      <w:bookmarkEnd w:id="116"/>
    </w:p>
    <w:p>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南岛幼儿园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w:t>
      </w:r>
      <w:bookmarkStart w:id="123" w:name="_GoBack"/>
      <w:bookmarkEnd w:id="123"/>
      <w:r>
        <w:rPr>
          <w:rFonts w:hint="eastAsia" w:ascii="仿宋_GB2312" w:hAnsi="ˎ̥" w:eastAsia="仿宋_GB2312" w:cs="Times New Roman"/>
          <w:color w:val="000000" w:themeColor="text1"/>
          <w:sz w:val="32"/>
          <w:szCs w:val="32"/>
          <w14:textFill>
            <w14:solidFill>
              <w14:schemeClr w14:val="tx1"/>
            </w14:solidFill>
          </w14:textFill>
        </w:rPr>
        <w:t>元。</w:t>
      </w:r>
    </w:p>
    <w:p>
      <w:pPr>
        <w:ind w:firstLine="643" w:firstLineChars="200"/>
        <w:rPr>
          <w:rFonts w:ascii="楷体" w:hAnsi="楷体" w:eastAsia="楷体" w:cs="楷体"/>
          <w:b/>
          <w:sz w:val="32"/>
          <w:szCs w:val="32"/>
        </w:rPr>
      </w:pPr>
      <w:bookmarkStart w:id="117" w:name="_Toc527_WPSOffice_Level2"/>
      <w:bookmarkStart w:id="118" w:name="_Toc10902_WPSOffice_Level2"/>
      <w:bookmarkStart w:id="119" w:name="_Toc15129_WPSOffice_Level2"/>
      <w:bookmarkStart w:id="120" w:name="_Toc29584_WPSOffice_Level2"/>
      <w:bookmarkStart w:id="121" w:name="_Toc6016_WPSOffice_Level2"/>
      <w:bookmarkStart w:id="122" w:name="_Toc19989_WPSOffice_Level2"/>
      <w:r>
        <w:rPr>
          <w:rFonts w:hint="eastAsia" w:ascii="楷体" w:hAnsi="楷体" w:eastAsia="楷体" w:cs="楷体"/>
          <w:b/>
          <w:sz w:val="32"/>
          <w:szCs w:val="32"/>
        </w:rPr>
        <w:t>（三）国有资产占用情况。</w:t>
      </w:r>
      <w:bookmarkEnd w:id="117"/>
      <w:bookmarkEnd w:id="118"/>
      <w:bookmarkEnd w:id="119"/>
      <w:bookmarkEnd w:id="120"/>
      <w:bookmarkEnd w:id="121"/>
      <w:bookmarkEnd w:id="122"/>
    </w:p>
    <w:p>
      <w:pPr>
        <w:spacing w:line="578" w:lineRule="exact"/>
        <w:ind w:firstLine="640" w:firstLineChars="200"/>
        <w:rPr>
          <w:rFonts w:ascii="仿宋_GB2312" w:hAnsi="ˎ̥" w:eastAsia="仿宋_GB2312" w:cs="Times New Roman"/>
          <w:color w:val="000000" w:themeColor="text1"/>
          <w:sz w:val="32"/>
          <w:szCs w:val="32"/>
          <w:highlight w:val="yellow"/>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年12月31日，本部门占用房屋面积</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2869.61</w:t>
      </w:r>
      <w:r>
        <w:rPr>
          <w:rFonts w:hint="eastAsia" w:ascii="仿宋_GB2312" w:hAnsi="ˎ̥" w:eastAsia="仿宋_GB2312" w:cs="Times New Roman"/>
          <w:color w:val="000000" w:themeColor="text1"/>
          <w:sz w:val="32"/>
          <w:szCs w:val="32"/>
          <w:highlight w:val="none"/>
          <w14:textFill>
            <w14:solidFill>
              <w14:schemeClr w14:val="tx1"/>
            </w14:solidFill>
          </w14:textFill>
        </w:rPr>
        <w:t>平方米，其中：</w:t>
      </w:r>
      <w:r>
        <w:rPr>
          <w:rFonts w:hint="eastAsia" w:ascii="仿宋_GB2312" w:hAnsi="ˎ̥" w:eastAsia="仿宋_GB2312" w:cs="Times New Roman"/>
          <w:color w:val="000000" w:themeColor="text1"/>
          <w:sz w:val="32"/>
          <w:szCs w:val="32"/>
          <w14:textFill>
            <w14:solidFill>
              <w14:schemeClr w14:val="tx1"/>
            </w14:solidFill>
          </w14:textFill>
        </w:rPr>
        <w:t>办公用房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平方米，业务用房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2869.61</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pPr>
        <w:spacing w:line="578" w:lineRule="exact"/>
        <w:ind w:firstLine="640" w:firstLineChars="200"/>
        <w:rPr>
          <w:rFonts w:hint="eastAsia" w:ascii="仿宋_GB2312" w:hAnsi="ˎ̥" w:eastAsia="仿宋_GB2312" w:cs="Times New Roman"/>
          <w:sz w:val="32"/>
          <w:szCs w:val="32"/>
        </w:rPr>
      </w:pPr>
    </w:p>
    <w:p>
      <w:pPr>
        <w:spacing w:line="578" w:lineRule="exact"/>
        <w:ind w:firstLine="640" w:firstLineChars="200"/>
        <w:rPr>
          <w:rFonts w:hint="eastAsia" w:ascii="仿宋_GB2312" w:hAnsi="ˎ̥" w:eastAsia="仿宋_GB2312" w:cs="Times New Roman"/>
          <w:sz w:val="32"/>
          <w:szCs w:val="32"/>
        </w:rPr>
      </w:pPr>
    </w:p>
    <w:p>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（注：支出功能分类的名词解释，各部门（单位）根据实际支出情况填列，可参阅财政部印发的《2022年政府收支分类科目》）</w:t>
      </w:r>
    </w:p>
    <w:p>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pPr>
        <w:ind w:firstLine="420" w:firstLineChars="200"/>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MTBjZjM3NDNlZDRkOGQwYTMwY2Q4MzExYTJjY2Q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2F55FD"/>
    <w:rsid w:val="02147E55"/>
    <w:rsid w:val="04807AAD"/>
    <w:rsid w:val="058244AF"/>
    <w:rsid w:val="05E6585C"/>
    <w:rsid w:val="088415B7"/>
    <w:rsid w:val="09531326"/>
    <w:rsid w:val="09C70460"/>
    <w:rsid w:val="0A31526B"/>
    <w:rsid w:val="0C6F2338"/>
    <w:rsid w:val="0DDA15B3"/>
    <w:rsid w:val="13C419AD"/>
    <w:rsid w:val="14D918C2"/>
    <w:rsid w:val="16CC5AEE"/>
    <w:rsid w:val="17124C72"/>
    <w:rsid w:val="1B08268A"/>
    <w:rsid w:val="1B084650"/>
    <w:rsid w:val="1C9D12CE"/>
    <w:rsid w:val="1D686ACF"/>
    <w:rsid w:val="1DB418AE"/>
    <w:rsid w:val="1DCB4F1E"/>
    <w:rsid w:val="1E3E4F0A"/>
    <w:rsid w:val="1F5A1F48"/>
    <w:rsid w:val="20106F09"/>
    <w:rsid w:val="20E36D41"/>
    <w:rsid w:val="210461B3"/>
    <w:rsid w:val="21371D65"/>
    <w:rsid w:val="22C20BF1"/>
    <w:rsid w:val="242A3581"/>
    <w:rsid w:val="242B4E3C"/>
    <w:rsid w:val="2562714D"/>
    <w:rsid w:val="25BA09E5"/>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6625D3"/>
    <w:rsid w:val="3A981EFF"/>
    <w:rsid w:val="3D2370C8"/>
    <w:rsid w:val="3D9D05CF"/>
    <w:rsid w:val="42982C27"/>
    <w:rsid w:val="43F85575"/>
    <w:rsid w:val="4439397F"/>
    <w:rsid w:val="44E66991"/>
    <w:rsid w:val="44F54D66"/>
    <w:rsid w:val="46F506BE"/>
    <w:rsid w:val="4703102D"/>
    <w:rsid w:val="4705491E"/>
    <w:rsid w:val="47870662"/>
    <w:rsid w:val="49255820"/>
    <w:rsid w:val="49C83E68"/>
    <w:rsid w:val="4B652F52"/>
    <w:rsid w:val="4C920D4B"/>
    <w:rsid w:val="50636B18"/>
    <w:rsid w:val="50F0622B"/>
    <w:rsid w:val="55CE46B5"/>
    <w:rsid w:val="55F5398B"/>
    <w:rsid w:val="55F8457D"/>
    <w:rsid w:val="58067E17"/>
    <w:rsid w:val="5814296E"/>
    <w:rsid w:val="59C82A51"/>
    <w:rsid w:val="59EC62F0"/>
    <w:rsid w:val="5A8E6A07"/>
    <w:rsid w:val="5AA2763D"/>
    <w:rsid w:val="5B461090"/>
    <w:rsid w:val="5CCB4073"/>
    <w:rsid w:val="5D200291"/>
    <w:rsid w:val="5DE34B5D"/>
    <w:rsid w:val="5EA615EA"/>
    <w:rsid w:val="5ECD1A47"/>
    <w:rsid w:val="632C11A2"/>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621993"/>
    <w:rsid w:val="75EF7DDE"/>
    <w:rsid w:val="770D1A50"/>
    <w:rsid w:val="777C3B73"/>
    <w:rsid w:val="778E5E45"/>
    <w:rsid w:val="77D76E8D"/>
    <w:rsid w:val="77E139D3"/>
    <w:rsid w:val="780C50C4"/>
    <w:rsid w:val="79A0064C"/>
    <w:rsid w:val="7AD503D1"/>
    <w:rsid w:val="7AFC13F7"/>
    <w:rsid w:val="7B7C3913"/>
    <w:rsid w:val="7CB17BE3"/>
    <w:rsid w:val="7F364DF4"/>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4575</Words>
  <Characters>4957</Characters>
  <Lines>51</Lines>
  <Paragraphs>14</Paragraphs>
  <TotalTime>74</TotalTime>
  <ScaleCrop>false</ScaleCrop>
  <LinksUpToDate>false</LinksUpToDate>
  <CharactersWithSpaces>5021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11211</cp:lastModifiedBy>
  <dcterms:modified xsi:type="dcterms:W3CDTF">2024-10-09T08:10:11Z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61D1B63BA99D48179134AD69FC3D4A64_13</vt:lpwstr>
  </property>
</Properties>
</file>