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6A5A3">
      <w:pPr>
        <w:jc w:val="center"/>
        <w:rPr>
          <w:rFonts w:ascii="黑体" w:hAnsi="宋体" w:eastAsia="黑体" w:cs="Times New Roman"/>
          <w:sz w:val="32"/>
          <w:szCs w:val="32"/>
        </w:rPr>
      </w:pPr>
    </w:p>
    <w:p w14:paraId="715217D2">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eastAsia="zh-CN"/>
        </w:rPr>
        <w:t>扎南小学2023</w:t>
      </w:r>
      <w:r>
        <w:rPr>
          <w:rFonts w:hint="eastAsia" w:ascii="黑体" w:hAnsi="ˎ̥" w:eastAsia="黑体" w:cs="Times New Roman"/>
          <w:sz w:val="44"/>
          <w:szCs w:val="44"/>
        </w:rPr>
        <w:t>年度</w:t>
      </w:r>
    </w:p>
    <w:p w14:paraId="065C84D1">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14:paraId="371685F8">
      <w:pPr>
        <w:jc w:val="center"/>
        <w:rPr>
          <w:rFonts w:ascii="黑体" w:hAnsi="ˎ̥" w:eastAsia="黑体" w:cs="Times New Roman"/>
          <w:b/>
          <w:sz w:val="32"/>
          <w:szCs w:val="32"/>
        </w:rPr>
      </w:pPr>
    </w:p>
    <w:p w14:paraId="223DA216">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30387F41">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eastAsia="zh-CN"/>
        </w:rPr>
        <w:t>扎南小学</w:t>
      </w:r>
      <w:r>
        <w:rPr>
          <w:rFonts w:hint="eastAsia" w:ascii="黑体" w:hAnsi="ˎ̥" w:eastAsia="黑体" w:cs="Times New Roman"/>
          <w:kern w:val="0"/>
          <w:sz w:val="32"/>
          <w:szCs w:val="32"/>
        </w:rPr>
        <w:t>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7E885F84">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CF054EF">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02A7C0A">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w:t>
      </w:r>
      <w:r>
        <w:rPr>
          <w:rFonts w:hint="eastAsia" w:ascii="黑体" w:hAnsi="ˎ̥" w:eastAsia="黑体" w:cs="Times New Roman"/>
          <w:kern w:val="0"/>
          <w:sz w:val="32"/>
          <w:szCs w:val="32"/>
          <w:lang w:eastAsia="zh-CN"/>
        </w:rPr>
        <w:t>扎南小学2023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6CB23203">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9D877A9">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94D3E45">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09BF223">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78439E6">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F54F8D1">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6F264E3">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4514CB4">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04A867F">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1ACBAE6">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3</w:t>
      </w:r>
    </w:p>
    <w:p w14:paraId="0CA93EF8">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11AD529">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ˎ̥" w:eastAsia="黑体" w:cs="Times New Roman"/>
          <w:kern w:val="0"/>
          <w:sz w:val="32"/>
          <w:szCs w:val="32"/>
          <w:lang w:eastAsia="zh-CN"/>
        </w:rPr>
        <w:t>扎南小学2023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31518031">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0CEAEDA3">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53EEAAA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6997DF4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02D5952A">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6</w:t>
      </w:r>
      <w:r>
        <w:rPr>
          <w:rFonts w:hint="eastAsia" w:ascii="仿宋" w:hAnsi="仿宋" w:eastAsia="仿宋" w:cs="仿宋"/>
          <w:kern w:val="0"/>
          <w:sz w:val="32"/>
          <w:szCs w:val="32"/>
        </w:rPr>
        <w:fldChar w:fldCharType="end"/>
      </w:r>
    </w:p>
    <w:p w14:paraId="7A3288D4">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5E5B9711">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5E9AE820">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1D06A86F">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38E48D14">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41E40DFE">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3E45A5B5">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5907C611">
      <w:pPr>
        <w:rPr>
          <w:rFonts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08A15EEC">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3A7A284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6F020AF1">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hint="eastAsia" w:ascii="仿宋" w:hAnsi="仿宋" w:eastAsia="仿宋" w:cs="仿宋"/>
          <w:kern w:val="0"/>
          <w:sz w:val="32"/>
          <w:szCs w:val="32"/>
        </w:rPr>
        <w:tab/>
      </w:r>
      <w:r>
        <w:rPr>
          <w:rFonts w:hint="eastAsia" w:ascii="仿宋" w:hAnsi="仿宋" w:eastAsia="仿宋" w:cs="仿宋"/>
          <w:kern w:val="0"/>
          <w:sz w:val="32"/>
          <w:szCs w:val="32"/>
        </w:rPr>
        <w:t>11</w:t>
      </w:r>
    </w:p>
    <w:p w14:paraId="41B53787">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"_Toc15425_WPSOffice_Level1" </w:instrText>
      </w:r>
      <w:r>
        <w:fldChar w:fldCharType="separate"/>
      </w:r>
      <w:r>
        <w:rPr>
          <w:rFonts w:hint="eastAsia" w:ascii="黑体" w:hAnsi="ˎ̥" w:eastAsia="黑体" w:cs="Times New Roman"/>
          <w:kern w:val="0"/>
          <w:sz w:val="32"/>
          <w:szCs w:val="32"/>
        </w:rPr>
        <w:t>第四部分  名词解释</w:t>
      </w:r>
      <w:r>
        <w:rPr>
          <w:rFonts w:ascii="Times New Roman" w:hAnsi="Times New Roman" w:eastAsia="宋体" w:cs="Times New Roman"/>
          <w:kern w:val="0"/>
          <w:sz w:val="32"/>
          <w:szCs w:val="32"/>
        </w:rPr>
        <w:tab/>
      </w:r>
      <w:bookmarkStart w:id="1" w:name="_Toc15425_WPSOffice_Level1Page"/>
      <w:r>
        <w:rPr>
          <w:rFonts w:ascii="Times New Roman" w:hAnsi="Times New Roman" w:eastAsia="宋体" w:cs="Times New Roman"/>
          <w:kern w:val="0"/>
          <w:sz w:val="32"/>
          <w:szCs w:val="32"/>
        </w:rPr>
        <w:t>1</w:t>
      </w:r>
      <w:bookmarkEnd w:id="1"/>
      <w:r>
        <w:rPr>
          <w:rFonts w:ascii="Times New Roman" w:hAnsi="Times New Roman" w:eastAsia="宋体" w:cs="Times New Roman"/>
          <w:kern w:val="0"/>
          <w:sz w:val="32"/>
          <w:szCs w:val="32"/>
        </w:rPr>
        <w:fldChar w:fldCharType="end"/>
      </w:r>
      <w:bookmarkEnd w:id="0"/>
      <w:r>
        <w:rPr>
          <w:rFonts w:hint="eastAsia" w:ascii="Times New Roman" w:hAnsi="Times New Roman" w:eastAsia="宋体" w:cs="Times New Roman"/>
          <w:kern w:val="0"/>
          <w:sz w:val="32"/>
          <w:szCs w:val="32"/>
        </w:rPr>
        <w:t>4</w:t>
      </w:r>
    </w:p>
    <w:p w14:paraId="33CE42FB">
      <w:pPr>
        <w:jc w:val="left"/>
        <w:rPr>
          <w:rFonts w:ascii="黑体" w:hAnsi="黑体" w:eastAsia="黑体" w:cs="黑体"/>
          <w:sz w:val="32"/>
          <w:szCs w:val="32"/>
        </w:rPr>
      </w:pPr>
    </w:p>
    <w:p w14:paraId="0E1E9398">
      <w:pPr>
        <w:jc w:val="center"/>
        <w:rPr>
          <w:rFonts w:ascii="黑体" w:hAnsi="ˎ̥" w:eastAsia="黑体" w:cs="Times New Roman"/>
          <w:b/>
          <w:sz w:val="32"/>
          <w:szCs w:val="32"/>
        </w:rPr>
      </w:pPr>
    </w:p>
    <w:p w14:paraId="771E8E7F">
      <w:pPr>
        <w:jc w:val="center"/>
        <w:rPr>
          <w:rFonts w:ascii="黑体" w:hAnsi="ˎ̥" w:eastAsia="黑体" w:cs="Times New Roman"/>
          <w:sz w:val="32"/>
          <w:szCs w:val="32"/>
        </w:rPr>
      </w:pPr>
      <w:bookmarkStart w:id="2" w:name="_Toc10049_WPSOffice_Level1"/>
      <w:bookmarkStart w:id="3" w:name="_Toc23465_WPSOffice_Level1"/>
      <w:bookmarkStart w:id="4" w:name="_Toc10720_WPSOffice_Level1"/>
      <w:bookmarkStart w:id="5" w:name="_Toc32433_WPSOffice_Level1"/>
      <w:bookmarkStart w:id="6" w:name="_Toc1704_WPSOffice_Level1"/>
      <w:bookmarkStart w:id="7" w:name="_Toc22941_WPSOffice_Level1"/>
      <w:bookmarkStart w:id="8" w:name="_Toc24238_WPSOffice_Level2"/>
      <w:bookmarkStart w:id="9" w:name="_Toc20205_WPSOffice_Level2"/>
      <w:bookmarkStart w:id="10" w:name="_Toc14159_WPSOffice_Level2"/>
      <w:bookmarkStart w:id="11" w:name="_Toc32622_WPSOffice_Level2"/>
      <w:bookmarkStart w:id="12" w:name="_Toc20274_WPSOffice_Level2"/>
      <w:bookmarkStart w:id="13" w:name="_Toc26580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eastAsia="zh-CN"/>
        </w:rPr>
        <w:t>扎南小学</w:t>
      </w:r>
      <w:r>
        <w:rPr>
          <w:rFonts w:hint="eastAsia" w:ascii="黑体" w:hAnsi="ˎ̥" w:eastAsia="黑体" w:cs="Times New Roman"/>
          <w:sz w:val="32"/>
          <w:szCs w:val="32"/>
        </w:rPr>
        <w:t>单位概况</w:t>
      </w:r>
      <w:bookmarkEnd w:id="2"/>
      <w:bookmarkEnd w:id="3"/>
      <w:bookmarkEnd w:id="4"/>
      <w:bookmarkEnd w:id="5"/>
      <w:bookmarkEnd w:id="6"/>
      <w:bookmarkEnd w:id="7"/>
    </w:p>
    <w:p w14:paraId="25C3C87F">
      <w:pPr>
        <w:ind w:firstLine="640" w:firstLineChars="200"/>
        <w:rPr>
          <w:rFonts w:ascii="楷体" w:hAnsi="楷体" w:eastAsia="楷体" w:cs="楷体"/>
          <w:sz w:val="32"/>
          <w:szCs w:val="32"/>
        </w:rPr>
      </w:pPr>
    </w:p>
    <w:p w14:paraId="778E2B00">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14:paraId="29D97DCB">
      <w:pPr>
        <w:pStyle w:val="10"/>
        <w:ind w:firstLineChars="0"/>
        <w:jc w:val="left"/>
        <w:rPr>
          <w:rFonts w:ascii="黑体" w:hAnsi="黑体" w:eastAsia="黑体" w:cs="仿宋_GB2312"/>
          <w:sz w:val="32"/>
          <w:szCs w:val="32"/>
        </w:rPr>
      </w:pPr>
      <w:bookmarkStart w:id="14" w:name="_Toc24059_WPSOffice_Level2"/>
      <w:bookmarkStart w:id="15" w:name="_Toc6572_WPSOffice_Level2"/>
      <w:bookmarkStart w:id="16" w:name="_Toc4833_WPSOffice_Level2"/>
      <w:bookmarkStart w:id="17" w:name="_Toc17796_WPSOffice_Level2"/>
      <w:bookmarkStart w:id="18" w:name="_Toc24474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4B87B9FD">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76211426">
      <w:pPr>
        <w:ind w:firstLine="640" w:firstLineChars="200"/>
        <w:rPr>
          <w:rFonts w:ascii="仿宋_GB2312" w:hAnsi="ˎ̥" w:eastAsia="仿宋_GB2312" w:cs="Times New Roman"/>
          <w:sz w:val="32"/>
          <w:szCs w:val="32"/>
        </w:rPr>
      </w:pPr>
      <w:bookmarkStart w:id="19" w:name="_Toc8164_WPSOffice_Level1"/>
      <w:bookmarkStart w:id="20" w:name="_Toc6234_WPSOffice_Level1"/>
      <w:bookmarkStart w:id="21" w:name="_Toc15521_WPSOffice_Level1"/>
      <w:bookmarkStart w:id="22" w:name="_Toc30690_WPSOffice_Level1"/>
      <w:bookmarkStart w:id="23" w:name="_Toc28253_WPSOffice_Level1"/>
      <w:bookmarkStart w:id="24" w:name="_Toc30451_WPSOffice_Level1"/>
      <w:bookmarkStart w:id="25" w:name="_Toc6211_WPSOffice_Level2"/>
      <w:bookmarkStart w:id="26" w:name="_Toc8867_WPSOffice_Level2"/>
      <w:bookmarkStart w:id="27" w:name="_Toc32695_WPSOffice_Level2"/>
      <w:bookmarkStart w:id="28" w:name="_Toc4029_WPSOffice_Level2"/>
      <w:bookmarkStart w:id="29" w:name="_Toc32472_WPSOffice_Level2"/>
      <w:bookmarkStart w:id="30" w:name="_Toc11518_WPSOffice_Level2"/>
      <w:r>
        <w:rPr>
          <w:rFonts w:hint="eastAsia" w:ascii="仿宋_GB2312" w:hAnsi="ˎ̥" w:eastAsia="仿宋_GB2312" w:cs="Times New Roman"/>
          <w:sz w:val="32"/>
          <w:szCs w:val="32"/>
        </w:rPr>
        <w:t>单位内设机构即包括：</w:t>
      </w:r>
    </w:p>
    <w:p w14:paraId="0125D8A5">
      <w:pPr>
        <w:ind w:firstLine="640" w:firstLineChars="200"/>
        <w:rPr>
          <w:rFonts w:ascii="楷体" w:hAnsi="楷体" w:eastAsia="楷体" w:cs="楷体"/>
          <w:sz w:val="32"/>
          <w:szCs w:val="32"/>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14:paraId="3E7BC0E7">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6C4CA9CE">
      <w:pPr>
        <w:ind w:firstLine="640" w:firstLineChars="200"/>
        <w:rPr>
          <w:rFonts w:ascii="楷体" w:hAnsi="楷体" w:eastAsia="楷体" w:cs="楷体"/>
          <w:sz w:val="32"/>
          <w:szCs w:val="32"/>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14:paraId="42D2AD6B">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14:paraId="648F9974">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14:paraId="6746B89A">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14:paraId="6BC17DD6">
      <w:pPr>
        <w:jc w:val="center"/>
        <w:rPr>
          <w:rFonts w:ascii="黑体" w:hAnsi="ˎ̥" w:eastAsia="黑体" w:cs="Times New Roman"/>
          <w:sz w:val="32"/>
          <w:szCs w:val="32"/>
        </w:rPr>
      </w:pPr>
      <w:r>
        <w:rPr>
          <w:rFonts w:hint="eastAsia" w:ascii="黑体" w:hAnsi="ˎ̥" w:eastAsia="黑体" w:cs="Times New Roman"/>
          <w:sz w:val="32"/>
          <w:szCs w:val="32"/>
        </w:rPr>
        <w:t>第二部分  三亚市天涯区</w:t>
      </w:r>
      <w:r>
        <w:rPr>
          <w:rFonts w:hint="eastAsia" w:ascii="黑体" w:hAnsi="ˎ̥" w:eastAsia="黑体" w:cs="Times New Roman"/>
          <w:sz w:val="32"/>
          <w:szCs w:val="32"/>
          <w:lang w:eastAsia="zh-CN"/>
        </w:rPr>
        <w:t>扎南小学2023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14:paraId="5DE011B7">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02216492">
      <w:pPr>
        <w:ind w:firstLine="645"/>
        <w:rPr>
          <w:rFonts w:ascii="黑体" w:hAnsi="黑体" w:eastAsia="黑体" w:cs="黑体"/>
          <w:sz w:val="32"/>
          <w:szCs w:val="32"/>
        </w:rPr>
      </w:pPr>
      <w:bookmarkStart w:id="35" w:name="_Toc23139_WPSOffice_Level2"/>
      <w:bookmarkStart w:id="36" w:name="_Toc25608_WPSOffice_Level2"/>
      <w:bookmarkStart w:id="37" w:name="_Toc26621_WPSOffice_Level2"/>
      <w:bookmarkStart w:id="38" w:name="_Toc28622_WPSOffice_Level2"/>
      <w:bookmarkStart w:id="39" w:name="_Toc30334_WPSOffice_Level2"/>
      <w:bookmarkStart w:id="40" w:name="_Toc14349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4C48468F">
      <w:pPr>
        <w:ind w:firstLine="645"/>
        <w:rPr>
          <w:rFonts w:ascii="黑体" w:hAnsi="黑体" w:eastAsia="黑体" w:cs="黑体"/>
          <w:sz w:val="32"/>
          <w:szCs w:val="32"/>
        </w:rPr>
      </w:pPr>
      <w:bookmarkStart w:id="41" w:name="_Toc17858_WPSOffice_Level2"/>
      <w:bookmarkStart w:id="42" w:name="_Toc3262_WPSOffice_Level2"/>
      <w:bookmarkStart w:id="43" w:name="_Toc17626_WPSOffice_Level2"/>
      <w:bookmarkStart w:id="44" w:name="_Toc14658_WPSOffice_Level2"/>
      <w:bookmarkStart w:id="45" w:name="_Toc5489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5A0D9B4F">
      <w:pPr>
        <w:ind w:firstLine="645"/>
        <w:rPr>
          <w:rFonts w:ascii="黑体" w:hAnsi="黑体" w:eastAsia="黑体" w:cs="黑体"/>
          <w:sz w:val="32"/>
          <w:szCs w:val="32"/>
        </w:rPr>
      </w:pPr>
      <w:bookmarkStart w:id="47" w:name="_Toc13701_WPSOffice_Level2"/>
      <w:bookmarkStart w:id="48" w:name="_Toc23591_WPSOffice_Level2"/>
      <w:bookmarkStart w:id="49" w:name="_Toc21415_WPSOffice_Level2"/>
      <w:bookmarkStart w:id="50" w:name="_Toc23493_WPSOffice_Level2"/>
      <w:bookmarkStart w:id="51" w:name="_Toc4265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73C639AA">
      <w:pPr>
        <w:ind w:firstLine="645"/>
        <w:rPr>
          <w:rFonts w:ascii="黑体" w:hAnsi="黑体" w:eastAsia="黑体" w:cs="黑体"/>
          <w:sz w:val="32"/>
          <w:szCs w:val="32"/>
        </w:rPr>
      </w:pPr>
      <w:bookmarkStart w:id="53" w:name="_Toc7879_WPSOffice_Level2"/>
      <w:bookmarkStart w:id="54" w:name="_Toc25166_WPSOffice_Level2"/>
      <w:bookmarkStart w:id="55" w:name="_Toc22783_WPSOffice_Level2"/>
      <w:bookmarkStart w:id="56" w:name="_Toc23829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14:paraId="7EC280D7">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14:paraId="6F9AB376">
      <w:pPr>
        <w:ind w:firstLine="645"/>
        <w:rPr>
          <w:rFonts w:ascii="黑体" w:hAnsi="黑体" w:eastAsia="黑体" w:cs="黑体"/>
          <w:sz w:val="32"/>
          <w:szCs w:val="32"/>
        </w:rPr>
      </w:pPr>
      <w:bookmarkStart w:id="59" w:name="_Toc8373_WPSOffice_Level2"/>
      <w:bookmarkStart w:id="60" w:name="_Toc25362_WPSOffice_Level2"/>
      <w:bookmarkStart w:id="61" w:name="_Toc17283_WPSOffice_Level2"/>
      <w:bookmarkStart w:id="62" w:name="_Toc17833_WPSOffice_Level2"/>
      <w:bookmarkStart w:id="63" w:name="_Toc5343_WPSOffice_Level2"/>
      <w:bookmarkStart w:id="64" w:name="_Toc2632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5B3978F2">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45781634">
      <w:pPr>
        <w:ind w:left="1118" w:leftChars="304" w:hanging="480" w:hangingChars="150"/>
        <w:rPr>
          <w:rFonts w:ascii="黑体" w:hAnsi="黑体" w:eastAsia="黑体" w:cs="黑体"/>
          <w:sz w:val="32"/>
          <w:szCs w:val="32"/>
        </w:rPr>
      </w:pPr>
      <w:bookmarkStart w:id="65" w:name="_Toc1533_WPSOffice_Level2"/>
      <w:bookmarkStart w:id="66" w:name="_Toc13345_WPSOffice_Level2"/>
      <w:bookmarkStart w:id="67" w:name="_Toc5594_WPSOffice_Level2"/>
      <w:bookmarkStart w:id="68" w:name="_Toc21310_WPSOffice_Level2"/>
      <w:bookmarkStart w:id="69" w:name="_Toc6020_WPSOffice_Level2"/>
      <w:bookmarkStart w:id="70" w:name="_Toc11799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0CB1B720">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35590705">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51716516">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6767034A">
      <w:pPr>
        <w:rPr>
          <w:rFonts w:ascii="黑体" w:hAnsi="黑体" w:eastAsia="黑体" w:cs="黑体"/>
          <w:sz w:val="32"/>
          <w:szCs w:val="32"/>
        </w:rPr>
      </w:pPr>
      <w:bookmarkStart w:id="71" w:name="_Toc1820_WPSOffice_Level2"/>
      <w:bookmarkStart w:id="72" w:name="_Toc9377_WPSOffice_Level2"/>
      <w:bookmarkStart w:id="73" w:name="_Toc29886_WPSOffice_Level2"/>
      <w:bookmarkStart w:id="74" w:name="_Toc19961_WPSOffice_Level2"/>
      <w:r>
        <w:rPr>
          <w:rFonts w:hint="eastAsia" w:ascii="黑体" w:hAnsi="黑体" w:eastAsia="黑体" w:cs="黑体"/>
          <w:sz w:val="32"/>
          <w:szCs w:val="32"/>
        </w:rPr>
        <w:t xml:space="preserve">    九、一般公共预算财政拨款“三公”经费支出决算</w:t>
      </w:r>
    </w:p>
    <w:p w14:paraId="087F90C1">
      <w:pPr>
        <w:rPr>
          <w:rFonts w:ascii="黑体" w:hAnsi="黑体" w:eastAsia="黑体" w:cs="黑体"/>
          <w:sz w:val="32"/>
          <w:szCs w:val="32"/>
        </w:rPr>
      </w:pPr>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14:paraId="75536427">
      <w:pPr>
        <w:rPr>
          <w:rFonts w:ascii="黑体" w:hAnsi="黑体" w:eastAsia="黑体" w:cs="黑体"/>
          <w:w w:val="96"/>
          <w:sz w:val="32"/>
          <w:szCs w:val="32"/>
        </w:rPr>
      </w:pPr>
      <w:r>
        <w:rPr>
          <w:rFonts w:hint="eastAsia" w:ascii="黑体" w:hAnsi="黑体" w:eastAsia="黑体" w:cs="黑体"/>
          <w:w w:val="96"/>
          <w:sz w:val="32"/>
          <w:szCs w:val="32"/>
        </w:rPr>
        <w:t xml:space="preserve">    十、政府性基金预算财政拨款“三公”经费支出决算</w:t>
      </w:r>
    </w:p>
    <w:p w14:paraId="498EDEB1">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6FD092D1">
      <w:pPr>
        <w:rPr>
          <w:rFonts w:ascii="黑体" w:hAnsi="黑体" w:eastAsia="黑体" w:cs="黑体"/>
          <w:w w:val="96"/>
          <w:sz w:val="32"/>
          <w:szCs w:val="32"/>
        </w:rPr>
      </w:pPr>
      <w:r>
        <w:rPr>
          <w:rFonts w:hint="eastAsia" w:ascii="黑体" w:hAnsi="黑体" w:eastAsia="黑体" w:cs="黑体"/>
          <w:w w:val="96"/>
          <w:sz w:val="32"/>
          <w:szCs w:val="32"/>
        </w:rPr>
        <w:t xml:space="preserve">    十一、国有资本经营预算财政拨款“三公”经费支出决算</w:t>
      </w:r>
    </w:p>
    <w:p w14:paraId="405E73BB">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02172026">
      <w:pPr>
        <w:rPr>
          <w:rFonts w:ascii="黑体" w:hAnsi="黑体" w:eastAsia="黑体" w:cs="黑体"/>
          <w:sz w:val="32"/>
          <w:szCs w:val="32"/>
        </w:rPr>
      </w:pPr>
    </w:p>
    <w:p w14:paraId="18AB2107">
      <w:pPr>
        <w:rPr>
          <w:rFonts w:ascii="黑体" w:hAnsi="黑体" w:eastAsia="黑体" w:cs="黑体"/>
          <w:sz w:val="32"/>
          <w:szCs w:val="32"/>
        </w:rPr>
      </w:pPr>
    </w:p>
    <w:p w14:paraId="4556AA86">
      <w:pPr>
        <w:rPr>
          <w:rFonts w:ascii="黑体" w:hAnsi="黑体" w:eastAsia="黑体" w:cs="黑体"/>
          <w:sz w:val="32"/>
          <w:szCs w:val="32"/>
        </w:rPr>
      </w:pPr>
    </w:p>
    <w:p w14:paraId="56A7E0E1">
      <w:pPr>
        <w:rPr>
          <w:rFonts w:ascii="黑体" w:hAnsi="黑体" w:eastAsia="黑体" w:cs="黑体"/>
          <w:sz w:val="32"/>
          <w:szCs w:val="32"/>
        </w:rPr>
      </w:pPr>
    </w:p>
    <w:p w14:paraId="4BE8CC19">
      <w:pPr>
        <w:rPr>
          <w:rFonts w:ascii="黑体" w:hAnsi="黑体" w:eastAsia="黑体" w:cs="黑体"/>
          <w:sz w:val="32"/>
          <w:szCs w:val="32"/>
        </w:rPr>
      </w:pPr>
    </w:p>
    <w:p w14:paraId="3F139458">
      <w:pPr>
        <w:rPr>
          <w:rFonts w:ascii="黑体" w:hAnsi="黑体" w:eastAsia="黑体" w:cs="黑体"/>
          <w:sz w:val="32"/>
          <w:szCs w:val="32"/>
        </w:rPr>
      </w:pPr>
    </w:p>
    <w:p w14:paraId="76DD9746">
      <w:pPr>
        <w:rPr>
          <w:rFonts w:ascii="黑体" w:hAnsi="黑体" w:eastAsia="黑体" w:cs="黑体"/>
          <w:sz w:val="32"/>
          <w:szCs w:val="32"/>
        </w:rPr>
      </w:pPr>
    </w:p>
    <w:p w14:paraId="1B0DCC12">
      <w:pPr>
        <w:jc w:val="center"/>
        <w:rPr>
          <w:rFonts w:ascii="黑体" w:hAnsi="ˎ̥" w:eastAsia="黑体" w:cs="Times New Roman"/>
          <w:sz w:val="32"/>
          <w:szCs w:val="32"/>
        </w:rPr>
      </w:pPr>
      <w:bookmarkStart w:id="75" w:name="_Toc28629_WPSOffice_Level1"/>
      <w:bookmarkStart w:id="76" w:name="_Toc27590_WPSOffice_Level1"/>
      <w:bookmarkStart w:id="77" w:name="_Toc16686_WPSOffice_Level1"/>
      <w:bookmarkStart w:id="78" w:name="_Toc29683_WPSOffice_Level1"/>
      <w:bookmarkStart w:id="79" w:name="_Toc31264_WPSOffice_Level1"/>
      <w:bookmarkStart w:id="80" w:name="_Toc4402_WPSOffice_Level1"/>
      <w:r>
        <w:rPr>
          <w:rFonts w:hint="eastAsia" w:ascii="黑体" w:hAnsi="ˎ̥" w:eastAsia="黑体" w:cs="Times New Roman"/>
          <w:sz w:val="32"/>
          <w:szCs w:val="32"/>
        </w:rPr>
        <w:t>第三部分  三亚市天涯区</w:t>
      </w:r>
      <w:r>
        <w:rPr>
          <w:rFonts w:hint="eastAsia" w:ascii="黑体" w:hAnsi="ˎ̥" w:eastAsia="黑体" w:cs="Times New Roman"/>
          <w:sz w:val="32"/>
          <w:szCs w:val="32"/>
          <w:lang w:eastAsia="zh-CN"/>
        </w:rPr>
        <w:t>扎南小学2023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决算情况说明</w:t>
      </w:r>
      <w:bookmarkEnd w:id="75"/>
      <w:bookmarkEnd w:id="76"/>
      <w:bookmarkEnd w:id="77"/>
      <w:bookmarkEnd w:id="78"/>
      <w:bookmarkEnd w:id="79"/>
      <w:bookmarkEnd w:id="80"/>
    </w:p>
    <w:p w14:paraId="66127167">
      <w:pPr>
        <w:jc w:val="center"/>
        <w:rPr>
          <w:rFonts w:ascii="黑体" w:hAnsi="ˎ̥" w:eastAsia="黑体" w:cs="Times New Roman"/>
          <w:sz w:val="32"/>
          <w:szCs w:val="32"/>
        </w:rPr>
      </w:pPr>
    </w:p>
    <w:p w14:paraId="488B17A3">
      <w:pPr>
        <w:numPr>
          <w:ilvl w:val="0"/>
          <w:numId w:val="2"/>
        </w:numPr>
        <w:ind w:firstLine="640" w:firstLineChars="200"/>
        <w:rPr>
          <w:rFonts w:ascii="仿宋_GB2312" w:hAnsi="ˎ̥" w:eastAsia="仿宋_GB2312" w:cs="Times New Roman"/>
          <w:sz w:val="32"/>
          <w:szCs w:val="32"/>
        </w:rPr>
      </w:pPr>
      <w:r>
        <w:rPr>
          <w:rFonts w:hint="eastAsia" w:ascii="黑体" w:hAnsi="黑体" w:eastAsia="黑体" w:cs="黑体"/>
          <w:bCs/>
          <w:sz w:val="32"/>
          <w:szCs w:val="32"/>
          <w:highlight w:val="none"/>
        </w:rPr>
        <w:t>收入支出决算总体情况说明</w:t>
      </w:r>
      <w:r>
        <w:rPr>
          <w:rFonts w:hint="eastAsia" w:ascii="黑体" w:hAnsi="黑体" w:eastAsia="黑体" w:cs="黑体"/>
          <w:bCs/>
          <w:sz w:val="32"/>
          <w:szCs w:val="32"/>
          <w:highlight w:val="none"/>
        </w:rPr>
        <w:br w:type="textWrapping"/>
      </w:r>
      <w:r>
        <w:rPr>
          <w:rFonts w:hint="eastAsia" w:ascii="楷体_GB2312" w:hAnsi="ˎ̥" w:eastAsia="楷体_GB2312" w:cs="Times New Roman"/>
          <w:sz w:val="32"/>
          <w:szCs w:val="32"/>
          <w:highlight w:val="none"/>
        </w:rPr>
        <w:t xml:space="preserve">  </w:t>
      </w:r>
      <w:r>
        <w:rPr>
          <w:rFonts w:hint="eastAsia" w:ascii="仿宋_GB2312" w:hAnsi="ˎ̥" w:eastAsia="仿宋_GB2312"/>
          <w:sz w:val="32"/>
          <w:szCs w:val="32"/>
          <w:highlight w:val="none"/>
          <w:lang w:eastAsia="zh-CN"/>
        </w:rPr>
        <w:t>2023</w:t>
      </w:r>
      <w:r>
        <w:rPr>
          <w:rFonts w:hint="eastAsia" w:ascii="仿宋_GB2312" w:hAnsi="ˎ̥" w:eastAsia="仿宋_GB2312"/>
          <w:sz w:val="32"/>
          <w:szCs w:val="32"/>
          <w:highlight w:val="none"/>
        </w:rPr>
        <w:t>年度收入总计</w:t>
      </w:r>
      <w:r>
        <w:rPr>
          <w:rFonts w:hint="eastAsia" w:ascii="仿宋_GB2312" w:hAnsi="ˎ̥" w:eastAsia="仿宋_GB2312" w:cs="Times New Roman"/>
          <w:sz w:val="32"/>
          <w:szCs w:val="32"/>
          <w:highlight w:val="none"/>
          <w:lang w:val="en-US" w:eastAsia="zh-CN"/>
        </w:rPr>
        <w:t>330.24</w:t>
      </w:r>
      <w:r>
        <w:rPr>
          <w:rFonts w:hint="eastAsia" w:ascii="仿宋_GB2312" w:hAnsi="ˎ̥" w:eastAsia="仿宋_GB2312"/>
          <w:sz w:val="32"/>
          <w:szCs w:val="32"/>
          <w:highlight w:val="none"/>
        </w:rPr>
        <w:t>万元，支出总计</w:t>
      </w:r>
      <w:r>
        <w:rPr>
          <w:rFonts w:hint="eastAsia" w:ascii="仿宋_GB2312" w:hAnsi="ˎ̥" w:eastAsia="仿宋_GB2312" w:cs="Times New Roman"/>
          <w:sz w:val="32"/>
          <w:szCs w:val="32"/>
          <w:highlight w:val="none"/>
          <w:lang w:val="en-US" w:eastAsia="zh-CN"/>
        </w:rPr>
        <w:t>330.24</w:t>
      </w:r>
      <w:r>
        <w:rPr>
          <w:rFonts w:hint="eastAsia" w:ascii="仿宋_GB2312" w:hAnsi="ˎ̥" w:eastAsia="仿宋_GB2312"/>
          <w:sz w:val="32"/>
          <w:szCs w:val="32"/>
          <w:highlight w:val="none"/>
        </w:rPr>
        <w:t>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2022</w:t>
      </w:r>
      <w:r>
        <w:rPr>
          <w:rFonts w:hint="eastAsia" w:ascii="仿宋_GB2312" w:hAnsi="ˎ̥" w:eastAsia="仿宋_GB2312" w:cs="Times New Roman"/>
          <w:sz w:val="32"/>
          <w:szCs w:val="32"/>
          <w:highlight w:val="none"/>
        </w:rPr>
        <w:t>年度相比，收入总计增加</w:t>
      </w:r>
      <w:r>
        <w:rPr>
          <w:rFonts w:hint="eastAsia" w:ascii="仿宋_GB2312" w:hAnsi="ˎ̥" w:eastAsia="仿宋_GB2312" w:cs="Times New Roman"/>
          <w:sz w:val="32"/>
          <w:szCs w:val="32"/>
          <w:highlight w:val="none"/>
          <w:lang w:val="en-US" w:eastAsia="zh-CN"/>
        </w:rPr>
        <w:t>3.24</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0.98</w:t>
      </w:r>
      <w:r>
        <w:rPr>
          <w:rFonts w:hint="eastAsia" w:ascii="仿宋_GB2312" w:hAnsi="ˎ̥" w:eastAsia="仿宋_GB2312" w:cs="Times New Roman"/>
          <w:sz w:val="32"/>
          <w:szCs w:val="32"/>
          <w:highlight w:val="none"/>
        </w:rPr>
        <w:t>%、支出总计增加</w:t>
      </w:r>
      <w:r>
        <w:rPr>
          <w:rFonts w:hint="eastAsia" w:ascii="仿宋_GB2312" w:hAnsi="ˎ̥" w:eastAsia="仿宋_GB2312" w:cs="Times New Roman"/>
          <w:sz w:val="32"/>
          <w:szCs w:val="32"/>
          <w:highlight w:val="none"/>
          <w:lang w:val="en-US" w:eastAsia="zh-CN"/>
        </w:rPr>
        <w:t>86.24</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35.34</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hint="eastAsia" w:ascii="仿宋_GB2312" w:hAnsi="ˎ̥" w:eastAsia="仿宋_GB2312"/>
          <w:sz w:val="32"/>
          <w:szCs w:val="32"/>
        </w:rPr>
        <w:t>主要原因：</w:t>
      </w:r>
      <w:r>
        <w:rPr>
          <w:rFonts w:hint="eastAsia" w:ascii="仿宋_GB2312" w:hAnsi="ˎ̥" w:eastAsia="仿宋_GB2312"/>
          <w:sz w:val="32"/>
          <w:szCs w:val="32"/>
          <w:lang w:val="en-US" w:eastAsia="zh-CN"/>
        </w:rPr>
        <w:t>预算安排资金用于支付上年度未及时拨付的项目款项</w:t>
      </w:r>
      <w:r>
        <w:rPr>
          <w:rFonts w:hint="eastAsia" w:ascii="仿宋_GB2312" w:hAnsi="ˎ̥" w:eastAsia="仿宋_GB2312"/>
          <w:sz w:val="32"/>
          <w:szCs w:val="32"/>
        </w:rPr>
        <w:t>。</w:t>
      </w:r>
      <w:r>
        <w:rPr>
          <w:rFonts w:hint="eastAsia" w:ascii="仿宋_GB2312" w:hAnsi="ˎ̥" w:eastAsia="仿宋_GB2312" w:cs="Times New Roman"/>
          <w:sz w:val="32"/>
          <w:szCs w:val="32"/>
        </w:rPr>
        <w:t>使用非财政拨款结余0万元，</w:t>
      </w:r>
      <w:r>
        <w:rPr>
          <w:rFonts w:hint="eastAsia" w:ascii="仿宋_GB2312" w:hAnsi="ˎ̥" w:eastAsia="仿宋_GB2312"/>
          <w:sz w:val="32"/>
          <w:szCs w:val="32"/>
        </w:rPr>
        <w:t>较</w:t>
      </w:r>
      <w:r>
        <w:rPr>
          <w:rFonts w:hint="eastAsia" w:ascii="仿宋_GB2312" w:hAnsi="ˎ̥" w:eastAsia="仿宋_GB2312"/>
          <w:sz w:val="32"/>
          <w:szCs w:val="32"/>
          <w:lang w:eastAsia="zh-CN"/>
        </w:rPr>
        <w:t>2022</w:t>
      </w:r>
      <w:r>
        <w:rPr>
          <w:rFonts w:hint="eastAsia" w:ascii="仿宋_GB2312" w:hAnsi="ˎ̥" w:eastAsia="仿宋_GB2312"/>
          <w:sz w:val="32"/>
          <w:szCs w:val="32"/>
        </w:rPr>
        <w:t>年度决算数增加0万元，主要原因是无使用非财政拨款结余</w:t>
      </w:r>
      <w:r>
        <w:rPr>
          <w:rFonts w:hint="eastAsia" w:ascii="仿宋_GB2312" w:hAnsi="ˎ̥" w:eastAsia="仿宋_GB2312" w:cs="Times New Roman"/>
          <w:sz w:val="32"/>
          <w:szCs w:val="32"/>
        </w:rPr>
        <w:t>。年初结转结余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万元，主要是财政拨款结转，较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rPr>
        <w:t>主要是上年办公经费结余，工资福利支出结余</w:t>
      </w:r>
      <w:r>
        <w:rPr>
          <w:rFonts w:hint="eastAsia" w:ascii="仿宋_GB2312" w:hAnsi="ˎ̥" w:eastAsia="仿宋_GB2312" w:cs="Times New Roman"/>
          <w:sz w:val="32"/>
          <w:szCs w:val="32"/>
        </w:rPr>
        <w:t>。</w:t>
      </w:r>
      <w:r>
        <w:rPr>
          <w:rFonts w:hint="eastAsia" w:ascii="仿宋_GB2312" w:hAnsi="ˎ̥" w:eastAsia="仿宋_GB2312"/>
          <w:sz w:val="32"/>
          <w:szCs w:val="32"/>
        </w:rPr>
        <w:t>结余分配0万元，较</w:t>
      </w:r>
      <w:r>
        <w:rPr>
          <w:rFonts w:hint="eastAsia" w:ascii="仿宋_GB2312" w:hAnsi="ˎ̥" w:eastAsia="仿宋_GB2312"/>
          <w:sz w:val="32"/>
          <w:szCs w:val="32"/>
          <w:lang w:eastAsia="zh-CN"/>
        </w:rPr>
        <w:t>2022</w:t>
      </w:r>
      <w:r>
        <w:rPr>
          <w:rFonts w:hint="eastAsia" w:ascii="仿宋_GB2312" w:hAnsi="ˎ̥" w:eastAsia="仿宋_GB2312"/>
          <w:sz w:val="32"/>
          <w:szCs w:val="32"/>
        </w:rPr>
        <w:t>年度决算数0万元，增长持平，主要原因是无结余分配。</w:t>
      </w:r>
      <w:r>
        <w:rPr>
          <w:rFonts w:hint="eastAsia" w:ascii="仿宋_GB2312" w:hAnsi="ˎ̥" w:eastAsia="仿宋_GB2312" w:cs="Times New Roman"/>
          <w:sz w:val="32"/>
          <w:szCs w:val="32"/>
        </w:rPr>
        <w:t>年末结转结余0万元，主要是财政拨款结转，较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万元，下降</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sz w:val="32"/>
          <w:szCs w:val="32"/>
        </w:rPr>
        <w:t>主要原因是年初预算少，使用结转结余经费。</w:t>
      </w:r>
    </w:p>
    <w:p w14:paraId="1BC3F7DD">
      <w:pPr>
        <w:ind w:firstLine="640" w:firstLineChars="200"/>
        <w:rPr>
          <w:rFonts w:ascii="仿宋_GB2312" w:hAnsi="ˎ̥" w:eastAsia="仿宋_GB2312" w:cs="Times New Roman"/>
          <w:sz w:val="32"/>
          <w:szCs w:val="32"/>
          <w:highlight w:val="none"/>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cs="Times New Roman"/>
          <w:sz w:val="32"/>
          <w:szCs w:val="32"/>
        </w:rPr>
        <w:t xml:space="preserve">    </w:t>
      </w:r>
      <w:r>
        <w:rPr>
          <w:rFonts w:hint="eastAsia" w:ascii="仿宋_GB2312" w:hAnsi="ˎ̥" w:eastAsia="仿宋_GB2312" w:cs="Times New Roman"/>
          <w:sz w:val="32"/>
          <w:szCs w:val="32"/>
          <w:highlight w:val="none"/>
        </w:rPr>
        <w:t>本年收入合计</w:t>
      </w:r>
      <w:r>
        <w:rPr>
          <w:rFonts w:hint="eastAsia" w:ascii="仿宋_GB2312" w:hAnsi="ˎ̥" w:eastAsia="仿宋_GB2312" w:cs="Times New Roman"/>
          <w:sz w:val="32"/>
          <w:szCs w:val="32"/>
          <w:highlight w:val="none"/>
          <w:lang w:val="en-US" w:eastAsia="zh-CN"/>
        </w:rPr>
        <w:t>330.24</w:t>
      </w:r>
      <w:r>
        <w:rPr>
          <w:rFonts w:hint="eastAsia" w:ascii="仿宋_GB2312" w:hAnsi="ˎ̥" w:eastAsia="仿宋_GB2312" w:cs="Times New Roman"/>
          <w:sz w:val="32"/>
          <w:szCs w:val="32"/>
          <w:highlight w:val="none"/>
        </w:rPr>
        <w:t>万元，其中：财政拨款收入</w:t>
      </w:r>
      <w:r>
        <w:rPr>
          <w:rFonts w:hint="eastAsia" w:ascii="仿宋_GB2312" w:hAnsi="ˎ̥" w:eastAsia="仿宋_GB2312" w:cs="Times New Roman"/>
          <w:sz w:val="32"/>
          <w:szCs w:val="32"/>
          <w:highlight w:val="none"/>
          <w:lang w:val="en-US" w:eastAsia="zh-CN"/>
        </w:rPr>
        <w:t>320.22</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96.96</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10.22</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 xml:space="preserve">3.03 </w:t>
      </w:r>
      <w:r>
        <w:rPr>
          <w:rFonts w:hint="eastAsia" w:ascii="仿宋_GB2312" w:hAnsi="ˎ̥" w:eastAsia="仿宋_GB2312" w:cs="Times New Roman"/>
          <w:sz w:val="32"/>
          <w:szCs w:val="32"/>
          <w:highlight w:val="none"/>
        </w:rPr>
        <w:t>%。</w:t>
      </w:r>
    </w:p>
    <w:p w14:paraId="0537CF49">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0A882A3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330.24</w:t>
      </w:r>
      <w:r>
        <w:rPr>
          <w:rFonts w:hint="eastAsia" w:ascii="仿宋_GB2312" w:hAnsi="ˎ̥" w:eastAsia="仿宋_GB2312" w:cs="Times New Roman"/>
          <w:sz w:val="32"/>
          <w:szCs w:val="32"/>
        </w:rPr>
        <w:t>万元，</w:t>
      </w:r>
      <w:r>
        <w:rPr>
          <w:rFonts w:hint="eastAsia" w:ascii="仿宋_GB2312" w:hAnsi="ˎ̥" w:eastAsia="仿宋_GB2312"/>
          <w:sz w:val="32"/>
          <w:szCs w:val="32"/>
          <w:highlight w:val="none"/>
        </w:rPr>
        <w:t>其中：基本支出</w:t>
      </w:r>
      <w:r>
        <w:rPr>
          <w:rFonts w:hint="eastAsia" w:ascii="仿宋_GB2312" w:hAnsi="ˎ̥" w:eastAsia="仿宋_GB2312"/>
          <w:sz w:val="32"/>
          <w:szCs w:val="32"/>
          <w:highlight w:val="none"/>
          <w:lang w:val="en-US" w:eastAsia="zh-CN"/>
        </w:rPr>
        <w:t>226.01</w:t>
      </w:r>
      <w:r>
        <w:rPr>
          <w:rFonts w:hint="eastAsia" w:ascii="仿宋_GB2312" w:hAnsi="ˎ̥" w:eastAsia="仿宋_GB2312"/>
          <w:sz w:val="32"/>
          <w:szCs w:val="32"/>
          <w:highlight w:val="none"/>
        </w:rPr>
        <w:t>万元，占</w:t>
      </w:r>
      <w:r>
        <w:rPr>
          <w:rFonts w:hint="eastAsia" w:ascii="仿宋_GB2312" w:hAnsi="ˎ̥" w:eastAsia="仿宋_GB2312"/>
          <w:sz w:val="32"/>
          <w:szCs w:val="32"/>
          <w:highlight w:val="none"/>
          <w:lang w:val="en-US" w:eastAsia="zh-CN"/>
        </w:rPr>
        <w:t>68.48</w:t>
      </w:r>
      <w:r>
        <w:rPr>
          <w:rFonts w:hint="eastAsia" w:ascii="仿宋_GB2312" w:hAnsi="ˎ̥" w:eastAsia="仿宋_GB2312"/>
          <w:sz w:val="32"/>
          <w:szCs w:val="32"/>
          <w:highlight w:val="none"/>
        </w:rPr>
        <w:t>%；项目支出</w:t>
      </w:r>
      <w:r>
        <w:rPr>
          <w:rFonts w:hint="eastAsia" w:ascii="仿宋_GB2312" w:hAnsi="ˎ̥" w:eastAsia="仿宋_GB2312"/>
          <w:sz w:val="32"/>
          <w:szCs w:val="32"/>
          <w:highlight w:val="none"/>
          <w:lang w:val="en-US" w:eastAsia="zh-CN"/>
        </w:rPr>
        <w:t>104.23</w:t>
      </w:r>
      <w:r>
        <w:rPr>
          <w:rFonts w:hint="eastAsia" w:ascii="仿宋_GB2312" w:hAnsi="ˎ̥" w:eastAsia="仿宋_GB2312"/>
          <w:sz w:val="32"/>
          <w:szCs w:val="32"/>
          <w:highlight w:val="none"/>
        </w:rPr>
        <w:t>万元，占</w:t>
      </w:r>
      <w:r>
        <w:rPr>
          <w:rFonts w:hint="eastAsia" w:ascii="仿宋_GB2312" w:hAnsi="ˎ̥" w:eastAsia="仿宋_GB2312"/>
          <w:sz w:val="32"/>
          <w:szCs w:val="32"/>
          <w:highlight w:val="none"/>
          <w:lang w:val="en-US" w:eastAsia="zh-CN"/>
        </w:rPr>
        <w:t>31.58</w:t>
      </w:r>
      <w:r>
        <w:rPr>
          <w:rFonts w:hint="eastAsia" w:ascii="仿宋_GB2312" w:hAnsi="ˎ̥" w:eastAsia="仿宋_GB2312"/>
          <w:sz w:val="32"/>
          <w:szCs w:val="32"/>
          <w:highlight w:val="none"/>
        </w:rPr>
        <w:t>%；上缴上级支出0万元，占0%；经营支出0万元，占0%；对附属单位补助支出0万元，占0%。”</w:t>
      </w:r>
    </w:p>
    <w:p w14:paraId="1C33F60D">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5E44CCFA">
      <w:pPr>
        <w:ind w:firstLine="640" w:firstLineChars="200"/>
        <w:rPr>
          <w:rFonts w:ascii="仿宋_GB2312" w:hAnsi="ˎ̥" w:eastAsia="仿宋_GB2312" w:cs="Times New Roman"/>
          <w:sz w:val="32"/>
          <w:szCs w:val="32"/>
          <w:highlight w:val="none"/>
        </w:rPr>
      </w:pPr>
      <w:r>
        <w:rPr>
          <w:rFonts w:hint="eastAsia" w:ascii="仿宋_GB2312" w:hAnsi="ˎ̥" w:eastAsia="仿宋_GB2312"/>
          <w:sz w:val="32"/>
          <w:szCs w:val="32"/>
          <w:highlight w:val="none"/>
          <w:lang w:eastAsia="zh-CN"/>
        </w:rPr>
        <w:t>2023</w:t>
      </w:r>
      <w:r>
        <w:rPr>
          <w:rFonts w:hint="eastAsia" w:ascii="仿宋_GB2312" w:hAnsi="ˎ̥" w:eastAsia="仿宋_GB2312"/>
          <w:sz w:val="32"/>
          <w:szCs w:val="32"/>
          <w:highlight w:val="none"/>
        </w:rPr>
        <w:t>年度财政拨款收入总计</w:t>
      </w:r>
      <w:r>
        <w:rPr>
          <w:rFonts w:hint="eastAsia" w:ascii="仿宋_GB2312" w:hAnsi="ˎ̥" w:eastAsia="仿宋_GB2312" w:cs="Times New Roman"/>
          <w:sz w:val="32"/>
          <w:szCs w:val="32"/>
          <w:highlight w:val="none"/>
          <w:lang w:val="en-US" w:eastAsia="zh-CN"/>
        </w:rPr>
        <w:t>330.24</w:t>
      </w:r>
      <w:r>
        <w:rPr>
          <w:rFonts w:hint="eastAsia" w:ascii="仿宋_GB2312" w:hAnsi="ˎ̥" w:eastAsia="仿宋_GB2312"/>
          <w:sz w:val="32"/>
          <w:szCs w:val="32"/>
          <w:highlight w:val="none"/>
        </w:rPr>
        <w:t>万元，支出总计</w:t>
      </w:r>
      <w:r>
        <w:rPr>
          <w:rFonts w:hint="eastAsia" w:ascii="仿宋_GB2312" w:hAnsi="ˎ̥" w:eastAsia="仿宋_GB2312" w:cs="Times New Roman"/>
          <w:sz w:val="32"/>
          <w:szCs w:val="32"/>
          <w:highlight w:val="none"/>
          <w:lang w:val="en-US" w:eastAsia="zh-CN"/>
        </w:rPr>
        <w:t>330.24</w:t>
      </w:r>
      <w:r>
        <w:rPr>
          <w:rFonts w:hint="eastAsia" w:ascii="仿宋_GB2312" w:hAnsi="ˎ̥" w:eastAsia="仿宋_GB2312"/>
          <w:sz w:val="32"/>
          <w:szCs w:val="32"/>
          <w:highlight w:val="none"/>
        </w:rPr>
        <w:t>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2022</w:t>
      </w:r>
      <w:r>
        <w:rPr>
          <w:rFonts w:hint="eastAsia" w:ascii="仿宋_GB2312" w:hAnsi="ˎ̥" w:eastAsia="仿宋_GB2312" w:cs="Times New Roman"/>
          <w:sz w:val="32"/>
          <w:szCs w:val="32"/>
          <w:highlight w:val="none"/>
        </w:rPr>
        <w:t>年度相比，财政拨款收入总计增加</w:t>
      </w:r>
      <w:r>
        <w:rPr>
          <w:rFonts w:hint="eastAsia" w:ascii="仿宋_GB2312" w:hAnsi="ˎ̥" w:eastAsia="仿宋_GB2312" w:cs="Times New Roman"/>
          <w:sz w:val="32"/>
          <w:szCs w:val="32"/>
          <w:highlight w:val="none"/>
          <w:lang w:val="en-US" w:eastAsia="zh-CN"/>
        </w:rPr>
        <w:t>5.24</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1.58</w:t>
      </w:r>
      <w:r>
        <w:rPr>
          <w:rFonts w:hint="eastAsia" w:ascii="仿宋_GB2312" w:hAnsi="ˎ̥" w:eastAsia="仿宋_GB2312" w:cs="Times New Roman"/>
          <w:sz w:val="32"/>
          <w:szCs w:val="32"/>
          <w:highlight w:val="none"/>
        </w:rPr>
        <w:t>%。支出总计增加</w:t>
      </w:r>
      <w:r>
        <w:rPr>
          <w:rFonts w:hint="eastAsia" w:ascii="仿宋_GB2312" w:hAnsi="ˎ̥" w:eastAsia="仿宋_GB2312" w:cs="Times New Roman"/>
          <w:sz w:val="32"/>
          <w:szCs w:val="32"/>
          <w:highlight w:val="none"/>
          <w:lang w:val="en-US" w:eastAsia="zh-CN"/>
        </w:rPr>
        <w:t>86</w:t>
      </w:r>
      <w:r>
        <w:rPr>
          <w:rFonts w:hint="eastAsia" w:ascii="仿宋_GB2312" w:hAnsi="ˎ̥" w:eastAsia="仿宋_GB2312" w:cs="Times New Roman"/>
          <w:sz w:val="32"/>
          <w:szCs w:val="32"/>
          <w:highlight w:val="none"/>
        </w:rPr>
        <w:t>万元，增加</w:t>
      </w:r>
      <w:r>
        <w:rPr>
          <w:rFonts w:hint="eastAsia" w:ascii="仿宋_GB2312" w:hAnsi="ˎ̥" w:eastAsia="仿宋_GB2312" w:cs="Times New Roman"/>
          <w:sz w:val="32"/>
          <w:szCs w:val="32"/>
          <w:highlight w:val="none"/>
          <w:lang w:val="en-US" w:eastAsia="zh-CN"/>
        </w:rPr>
        <w:t>26.06</w:t>
      </w:r>
      <w:r>
        <w:rPr>
          <w:rFonts w:hint="eastAsia" w:ascii="仿宋_GB2312" w:hAnsi="ˎ̥" w:eastAsia="仿宋_GB2312" w:cs="Times New Roman"/>
          <w:sz w:val="32"/>
          <w:szCs w:val="32"/>
          <w:highlight w:val="none"/>
        </w:rPr>
        <w:t>%</w:t>
      </w:r>
    </w:p>
    <w:p w14:paraId="2A89C902">
      <w:pPr>
        <w:ind w:firstLine="640" w:firstLineChars="20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万元，主要是教育支出，较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万元，增长</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lang w:eastAsia="zh-CN"/>
        </w:rPr>
        <w:t>。</w:t>
      </w:r>
    </w:p>
    <w:p w14:paraId="2628FB84">
      <w:pPr>
        <w:numPr>
          <w:ilvl w:val="0"/>
          <w:numId w:val="2"/>
        </w:numPr>
        <w:shd w:val="clea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财政拨款年末结转结余0万元，主要</w:t>
      </w:r>
      <w:r>
        <w:rPr>
          <w:rFonts w:hint="eastAsia" w:ascii="仿宋_GB2312" w:hAnsi="ˎ̥" w:eastAsia="仿宋_GB2312" w:cs="Times New Roman"/>
          <w:color w:val="000000" w:themeColor="text1"/>
          <w:sz w:val="32"/>
          <w:szCs w:val="32"/>
          <w14:textFill>
            <w14:solidFill>
              <w14:schemeClr w14:val="tx1"/>
            </w14:solidFill>
          </w14:textFill>
        </w:rPr>
        <w:t>是项目支出</w:t>
      </w:r>
      <w:r>
        <w:rPr>
          <w:rFonts w:hint="eastAsia" w:ascii="仿宋_GB2312" w:hAnsi="ˎ̥" w:eastAsia="仿宋_GB2312" w:cs="Times New Roman"/>
          <w:sz w:val="32"/>
          <w:szCs w:val="32"/>
        </w:rPr>
        <w:t>，较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年度年末决算数减少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highlight w:val="none"/>
        </w:rPr>
        <w:t>，</w:t>
      </w:r>
      <w:r>
        <w:rPr>
          <w:rFonts w:hint="eastAsia" w:ascii="仿宋_GB2312" w:hAnsi="ˎ̥" w:eastAsia="仿宋_GB2312"/>
          <w:sz w:val="32"/>
          <w:szCs w:val="32"/>
        </w:rPr>
        <w:t>主要原因是年初预算少，使用结转结余经费。</w:t>
      </w:r>
    </w:p>
    <w:p w14:paraId="6DCA3962">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1E0D944E">
      <w:pPr>
        <w:ind w:firstLine="640" w:firstLineChars="200"/>
        <w:rPr>
          <w:rFonts w:ascii="楷体" w:hAnsi="楷体" w:eastAsia="楷体" w:cs="楷体"/>
          <w:sz w:val="32"/>
          <w:szCs w:val="32"/>
        </w:rPr>
      </w:pPr>
      <w:bookmarkStart w:id="81" w:name="_Toc17398_WPSOffice_Level2"/>
      <w:bookmarkStart w:id="82" w:name="_Toc13694_WPSOffice_Level2"/>
      <w:bookmarkStart w:id="83" w:name="_Toc23005_WPSOffice_Level2"/>
      <w:bookmarkStart w:id="84" w:name="_Toc21737_WPSOffice_Level2"/>
      <w:bookmarkStart w:id="85" w:name="_Toc9989_WPSOffice_Level2"/>
      <w:bookmarkStart w:id="86" w:name="_Toc19665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37B7B836">
      <w:pPr>
        <w:ind w:firstLine="640" w:firstLineChars="200"/>
        <w:rPr>
          <w:rFonts w:hint="eastAsia" w:ascii="仿宋_GB2312" w:hAnsi="ˎ̥" w:eastAsia="仿宋_GB2312"/>
          <w:sz w:val="32"/>
          <w:szCs w:val="32"/>
          <w:lang w:eastAsia="zh-CN"/>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330.24</w:t>
      </w:r>
      <w:r>
        <w:rPr>
          <w:rFonts w:hint="eastAsia" w:ascii="仿宋_GB2312" w:hAnsi="ˎ̥" w:eastAsia="仿宋_GB2312" w:cs="Times New Roman"/>
          <w:sz w:val="32"/>
          <w:szCs w:val="32"/>
        </w:rPr>
        <w:t>万元，占本年支出合计的100%。与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年度相比，一般公共预算财政拨款支出</w:t>
      </w:r>
      <w:bookmarkStart w:id="87" w:name="_Toc2711_WPSOffice_Level2"/>
      <w:bookmarkStart w:id="88" w:name="_Toc18793_WPSOffice_Level2"/>
      <w:bookmarkStart w:id="89" w:name="_Toc19075_WPSOffice_Level2"/>
      <w:bookmarkStart w:id="90" w:name="_Toc23864_WPSOffice_Level2"/>
      <w:bookmarkStart w:id="91" w:name="_Toc27767_WPSOffice_Level2"/>
      <w:bookmarkStart w:id="92" w:name="_Toc19535_WPSOffice_Level2"/>
      <w:r>
        <w:rPr>
          <w:rFonts w:hint="eastAsia" w:ascii="仿宋_GB2312" w:hAnsi="ˎ̥" w:eastAsia="仿宋_GB2312" w:cs="Times New Roman"/>
          <w:sz w:val="32"/>
          <w:szCs w:val="32"/>
        </w:rPr>
        <w:t>增加</w:t>
      </w:r>
      <w:r>
        <w:rPr>
          <w:rFonts w:hint="eastAsia" w:ascii="仿宋_GB2312" w:hAnsi="ˎ̥" w:eastAsia="仿宋_GB2312" w:cs="Times New Roman"/>
          <w:sz w:val="32"/>
          <w:szCs w:val="32"/>
          <w:lang w:val="en-US" w:eastAsia="zh-CN"/>
        </w:rPr>
        <w:t>86</w:t>
      </w:r>
      <w:r>
        <w:rPr>
          <w:rFonts w:hint="eastAsia" w:ascii="仿宋_GB2312" w:hAnsi="ˎ̥" w:eastAsia="仿宋_GB2312" w:cs="Times New Roman"/>
          <w:sz w:val="32"/>
          <w:szCs w:val="32"/>
        </w:rPr>
        <w:t>万元，增加</w:t>
      </w:r>
      <w:r>
        <w:rPr>
          <w:rFonts w:hint="eastAsia" w:ascii="仿宋_GB2312" w:hAnsi="ˎ̥" w:eastAsia="仿宋_GB2312" w:cs="Times New Roman"/>
          <w:sz w:val="32"/>
          <w:szCs w:val="32"/>
          <w:lang w:val="en-US" w:eastAsia="zh-CN"/>
        </w:rPr>
        <w:t>26.06</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sz w:val="32"/>
          <w:szCs w:val="32"/>
          <w:lang w:val="en-US" w:eastAsia="zh-CN"/>
        </w:rPr>
        <w:t>主要原因是预算安排资金用于支付上年度未及时拨付的项目款项</w:t>
      </w:r>
      <w:r>
        <w:rPr>
          <w:rFonts w:hint="eastAsia" w:ascii="仿宋_GB2312" w:hAnsi="ˎ̥" w:eastAsia="仿宋_GB2312"/>
          <w:sz w:val="32"/>
          <w:szCs w:val="32"/>
          <w:lang w:eastAsia="zh-CN"/>
        </w:rPr>
        <w:t>。</w:t>
      </w:r>
    </w:p>
    <w:p w14:paraId="2067B629">
      <w:pPr>
        <w:ind w:firstLine="640" w:firstLineChars="200"/>
        <w:rPr>
          <w:rFonts w:ascii="楷体" w:hAnsi="楷体" w:eastAsia="楷体" w:cs="楷体"/>
          <w:sz w:val="32"/>
          <w:szCs w:val="32"/>
        </w:rPr>
      </w:pPr>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3B5EE07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330.24</w:t>
      </w:r>
      <w:r>
        <w:rPr>
          <w:rFonts w:hint="eastAsia" w:ascii="仿宋_GB2312" w:hAnsi="ˎ̥" w:eastAsia="仿宋_GB2312" w:cs="Times New Roman"/>
          <w:sz w:val="32"/>
          <w:szCs w:val="32"/>
        </w:rPr>
        <w:t>万元，主要用于以下方面：</w:t>
      </w:r>
      <w:r>
        <w:rPr>
          <w:rFonts w:hint="eastAsia" w:ascii="仿宋_GB2312" w:hAnsi="ˎ̥" w:eastAsia="仿宋_GB2312" w:cs="Times New Roman"/>
          <w:b/>
          <w:sz w:val="32"/>
          <w:szCs w:val="32"/>
        </w:rPr>
        <w:t>教育（类）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233.15</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76.60</w:t>
      </w:r>
      <w:r>
        <w:rPr>
          <w:rFonts w:hint="eastAsia" w:ascii="仿宋_GB2312" w:hAnsi="ˎ̥" w:eastAsia="仿宋_GB2312" w:cs="Times New Roman"/>
          <w:sz w:val="32"/>
          <w:szCs w:val="32"/>
        </w:rPr>
        <w:t>%；</w:t>
      </w:r>
      <w:r>
        <w:rPr>
          <w:rFonts w:hint="eastAsia" w:ascii="仿宋_GB2312" w:hAnsi="ˎ̥" w:eastAsia="仿宋_GB2312" w:cs="Times New Roman"/>
          <w:b/>
          <w:sz w:val="32"/>
          <w:szCs w:val="32"/>
        </w:rPr>
        <w:t>社会保障和就业（类）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59.44</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17.87</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住房保障（类）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12.85</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3.89</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卫生健康（类）</w:t>
      </w:r>
      <w:r>
        <w:rPr>
          <w:rFonts w:hint="eastAsia" w:ascii="仿宋_GB2312" w:hAnsi="ˎ̥" w:eastAsia="仿宋_GB2312" w:cs="Times New Roman"/>
          <w:sz w:val="32"/>
          <w:szCs w:val="32"/>
        </w:rPr>
        <w:t>支出</w:t>
      </w:r>
      <w:bookmarkStart w:id="93" w:name="_Toc29364_WPSOffice_Level2"/>
      <w:bookmarkStart w:id="94" w:name="_Toc22318_WPSOffice_Level2"/>
      <w:bookmarkStart w:id="95" w:name="_Toc9502_WPSOffice_Level2"/>
      <w:bookmarkStart w:id="96" w:name="_Toc15415_WPSOffice_Level2"/>
      <w:bookmarkStart w:id="97" w:name="_Toc25136_WPSOffice_Level2"/>
      <w:bookmarkStart w:id="98" w:name="_Toc21701_WPSOffice_Level2"/>
      <w:r>
        <w:rPr>
          <w:rFonts w:hint="eastAsia" w:ascii="仿宋_GB2312" w:hAnsi="ˎ̥" w:eastAsia="仿宋_GB2312" w:cs="Times New Roman"/>
          <w:sz w:val="32"/>
          <w:szCs w:val="32"/>
          <w:lang w:val="en-US" w:eastAsia="zh-CN"/>
        </w:rPr>
        <w:t>24.80</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7.51</w:t>
      </w:r>
      <w:r>
        <w:rPr>
          <w:rFonts w:hint="eastAsia" w:ascii="仿宋_GB2312" w:hAnsi="ˎ̥" w:eastAsia="仿宋_GB2312" w:cs="Times New Roman"/>
          <w:sz w:val="32"/>
          <w:szCs w:val="32"/>
        </w:rPr>
        <w:t>%。</w:t>
      </w:r>
    </w:p>
    <w:p w14:paraId="4D6B6DCF">
      <w:pPr>
        <w:ind w:firstLine="640" w:firstLineChars="200"/>
        <w:rPr>
          <w:rFonts w:ascii="楷体" w:hAnsi="楷体" w:eastAsia="楷体" w:cs="楷体"/>
          <w:sz w:val="32"/>
          <w:szCs w:val="32"/>
        </w:rPr>
      </w:pPr>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14:paraId="45D40EB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年度一般公共预算财政拨款支出年初预算为</w:t>
      </w:r>
      <w:r>
        <w:rPr>
          <w:rFonts w:hint="eastAsia" w:ascii="仿宋_GB2312" w:hAnsi="ˎ̥" w:eastAsia="仿宋_GB2312" w:cs="Times New Roman"/>
          <w:sz w:val="32"/>
          <w:szCs w:val="32"/>
          <w:lang w:val="en-US" w:eastAsia="zh-CN"/>
        </w:rPr>
        <w:t>233.16</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233.16</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%。其中：</w:t>
      </w:r>
    </w:p>
    <w:p w14:paraId="235E1003">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1.</w:t>
      </w:r>
      <w:r>
        <w:rPr>
          <w:rFonts w:hint="eastAsia" w:ascii="仿宋_GB2312" w:hAnsi="ˎ̥" w:eastAsia="仿宋_GB2312" w:cs="Times New Roman"/>
          <w:b/>
          <w:sz w:val="32"/>
          <w:szCs w:val="32"/>
        </w:rPr>
        <w:t>教育（类）普通教育（款）小学教育（项）。</w:t>
      </w:r>
    </w:p>
    <w:p w14:paraId="2639DCD1">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233.16</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233.16</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p>
    <w:p w14:paraId="18279F4A">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2.</w:t>
      </w:r>
      <w:r>
        <w:rPr>
          <w:rFonts w:hint="eastAsia" w:ascii="仿宋_GB2312" w:hAnsi="ˎ̥" w:eastAsia="仿宋_GB2312" w:cs="Times New Roman"/>
          <w:b/>
          <w:sz w:val="32"/>
          <w:szCs w:val="32"/>
        </w:rPr>
        <w:t>教育（类）教育管理事务（款）其他教育管理事务支出（项）。</w:t>
      </w:r>
    </w:p>
    <w:p w14:paraId="2DBF9C6E">
      <w:pPr>
        <w:rPr>
          <w:rFonts w:ascii="仿宋_GB2312" w:hAnsi="ˎ̥" w:eastAsia="仿宋_GB2312" w:cs="Times New Roman"/>
          <w:sz w:val="32"/>
          <w:szCs w:val="32"/>
        </w:rPr>
      </w:pPr>
      <w:r>
        <w:rPr>
          <w:rFonts w:hint="eastAsia" w:ascii="仿宋_GB2312" w:hAnsi="ˎ̥" w:eastAsia="仿宋_GB2312" w:cs="Times New Roman"/>
          <w:sz w:val="32"/>
          <w:szCs w:val="32"/>
        </w:rPr>
        <w:t>年初预算为0万元，支出决算为0万元，完成年初预算的0%。</w:t>
      </w:r>
    </w:p>
    <w:p w14:paraId="066BFD0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3.</w:t>
      </w:r>
      <w:r>
        <w:rPr>
          <w:rFonts w:hint="eastAsia" w:ascii="仿宋_GB2312" w:hAnsi="ˎ̥" w:eastAsia="仿宋_GB2312" w:cs="Times New Roman"/>
          <w:b/>
          <w:sz w:val="32"/>
          <w:szCs w:val="32"/>
        </w:rPr>
        <w:t>社会保障和就业（类）行政事业单位养老支出（款）机关事业单位基本养老保险缴费支出（项）。</w:t>
      </w:r>
    </w:p>
    <w:p w14:paraId="5861ABBE">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16.77</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16.77</w:t>
      </w:r>
      <w:r>
        <w:rPr>
          <w:rFonts w:hint="eastAsia" w:ascii="仿宋_GB2312" w:hAnsi="ˎ̥" w:eastAsia="仿宋_GB2312" w:cs="Times New Roman"/>
          <w:sz w:val="32"/>
          <w:szCs w:val="32"/>
        </w:rPr>
        <w:t>万元，完成年初预算的100%。</w:t>
      </w:r>
    </w:p>
    <w:p w14:paraId="67FAC66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4.</w:t>
      </w:r>
      <w:r>
        <w:rPr>
          <w:rFonts w:hint="eastAsia" w:ascii="仿宋_GB2312" w:hAnsi="ˎ̥" w:eastAsia="仿宋_GB2312" w:cs="Times New Roman"/>
          <w:b/>
          <w:sz w:val="32"/>
          <w:szCs w:val="32"/>
        </w:rPr>
        <w:t>社会保障和就业（类）行政事业单位养老支出（款）机关事业单位职业年金缴费支出（项）。</w:t>
      </w:r>
    </w:p>
    <w:p w14:paraId="7C665E87">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24.78</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24.78</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w:t>
      </w:r>
      <w:r>
        <w:rPr>
          <w:rFonts w:hint="eastAsia" w:ascii="仿宋_GB2312" w:hAnsi="ˎ̥" w:eastAsia="仿宋_GB2312" w:cs="Times New Roman"/>
          <w:sz w:val="32"/>
          <w:szCs w:val="32"/>
        </w:rPr>
        <w:t>0%。</w:t>
      </w:r>
    </w:p>
    <w:p w14:paraId="4A0F7FC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5.</w:t>
      </w:r>
      <w:r>
        <w:rPr>
          <w:rFonts w:hint="eastAsia" w:ascii="仿宋_GB2312" w:hAnsi="ˎ̥" w:eastAsia="仿宋_GB2312" w:cs="Times New Roman"/>
          <w:b/>
          <w:sz w:val="32"/>
          <w:szCs w:val="32"/>
        </w:rPr>
        <w:t>卫生健康（类）行政事业单位医疗（款）事业单位医疗（项）。</w:t>
      </w:r>
    </w:p>
    <w:p w14:paraId="22F3D0A1">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30.05</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30.05</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p>
    <w:p w14:paraId="367D763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6.</w:t>
      </w:r>
      <w:r>
        <w:rPr>
          <w:rFonts w:hint="eastAsia" w:ascii="仿宋_GB2312" w:hAnsi="ˎ̥" w:eastAsia="仿宋_GB2312" w:cs="Times New Roman"/>
          <w:b/>
          <w:sz w:val="32"/>
          <w:szCs w:val="32"/>
        </w:rPr>
        <w:t>社会保障和就业（类）行政事业单位医疗（款）公务员医疗补助（项）。</w:t>
      </w:r>
    </w:p>
    <w:p w14:paraId="6F5EF9B3">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17.08</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17.08</w:t>
      </w:r>
      <w:r>
        <w:rPr>
          <w:rFonts w:hint="eastAsia" w:ascii="仿宋_GB2312" w:hAnsi="ˎ̥" w:eastAsia="仿宋_GB2312" w:cs="Times New Roman"/>
          <w:sz w:val="32"/>
          <w:szCs w:val="32"/>
        </w:rPr>
        <w:t>万元，完成年初预算的100%。</w:t>
      </w:r>
    </w:p>
    <w:p w14:paraId="2647D981">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7.</w:t>
      </w:r>
      <w:r>
        <w:rPr>
          <w:rFonts w:hint="eastAsia" w:ascii="仿宋_GB2312" w:hAnsi="ˎ̥" w:eastAsia="仿宋_GB2312" w:cs="Times New Roman"/>
          <w:b/>
          <w:sz w:val="32"/>
          <w:szCs w:val="32"/>
        </w:rPr>
        <w:t>住房保障（类）住房改革支出（款）住房公积金（项）。</w:t>
      </w:r>
    </w:p>
    <w:p w14:paraId="2E90F9F8">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12.85</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12.85</w:t>
      </w:r>
      <w:r>
        <w:rPr>
          <w:rFonts w:hint="eastAsia" w:ascii="仿宋_GB2312" w:hAnsi="ˎ̥" w:eastAsia="仿宋_GB2312" w:cs="Times New Roman"/>
          <w:sz w:val="32"/>
          <w:szCs w:val="32"/>
        </w:rPr>
        <w:t>万元，完成年初预算的100%。</w:t>
      </w:r>
    </w:p>
    <w:p w14:paraId="36FBEFAF">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45220DBD">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highlight w:val="none"/>
          <w:lang w:eastAsia="zh-CN"/>
        </w:rPr>
        <w:t>2023</w:t>
      </w:r>
      <w:r>
        <w:rPr>
          <w:rFonts w:hint="eastAsia" w:ascii="仿宋_GB2312" w:hAnsi="ˎ̥" w:eastAsia="仿宋_GB2312" w:cs="Times New Roman"/>
          <w:sz w:val="32"/>
          <w:szCs w:val="32"/>
          <w:highlight w:val="none"/>
        </w:rPr>
        <w:t>年度财政拨款基本支出</w:t>
      </w:r>
      <w:r>
        <w:rPr>
          <w:rFonts w:hint="eastAsia" w:ascii="仿宋_GB2312" w:hAnsi="ˎ̥" w:eastAsia="仿宋_GB2312" w:cs="Times New Roman"/>
          <w:sz w:val="32"/>
          <w:szCs w:val="32"/>
          <w:highlight w:val="none"/>
          <w:lang w:val="en-US" w:eastAsia="zh-CN"/>
        </w:rPr>
        <w:t>330.24</w:t>
      </w:r>
      <w:r>
        <w:rPr>
          <w:rFonts w:hint="eastAsia" w:ascii="仿宋_GB2312" w:hAnsi="ˎ̥" w:eastAsia="仿宋_GB2312" w:cs="Times New Roman"/>
          <w:sz w:val="32"/>
          <w:szCs w:val="32"/>
          <w:highlight w:val="none"/>
        </w:rPr>
        <w:t>万元，其中：人员经费</w:t>
      </w:r>
      <w:r>
        <w:rPr>
          <w:rFonts w:hint="eastAsia" w:ascii="仿宋_GB2312" w:hAnsi="ˎ̥" w:eastAsia="仿宋_GB2312" w:cs="Times New Roman"/>
          <w:sz w:val="32"/>
          <w:szCs w:val="32"/>
          <w:highlight w:val="none"/>
          <w:lang w:val="en-US" w:eastAsia="zh-CN"/>
        </w:rPr>
        <w:t>202.78</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rPr>
        <w:t>，主要包括：基本工资、津贴补贴、奖金、绩效工资、机关事业单位基本养老保险缴费、职业年金缴费、职工基本医疗保险缴费、公务员医疗补助缴费、其他社会保障缴费、住房公积金、医疗费、对个人和家庭的补助支出、奖励金等。</w:t>
      </w:r>
      <w:r>
        <w:rPr>
          <w:rFonts w:hint="eastAsia" w:ascii="仿宋_GB2312" w:hAnsi="ˎ̥" w:eastAsia="仿宋_GB2312" w:cs="Times New Roman"/>
          <w:sz w:val="32"/>
          <w:szCs w:val="32"/>
          <w:highlight w:val="none"/>
        </w:rPr>
        <w:t>公用经费</w:t>
      </w:r>
      <w:r>
        <w:rPr>
          <w:rFonts w:hint="eastAsia" w:ascii="仿宋_GB2312" w:hAnsi="ˎ̥" w:eastAsia="仿宋_GB2312" w:cs="Times New Roman"/>
          <w:sz w:val="32"/>
          <w:szCs w:val="32"/>
          <w:highlight w:val="none"/>
          <w:lang w:val="en-US" w:eastAsia="zh-CN"/>
        </w:rPr>
        <w:t>3.4</w:t>
      </w:r>
      <w:bookmarkStart w:id="123" w:name="_GoBack"/>
      <w:bookmarkEnd w:id="123"/>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rPr>
        <w:t>主要包括：邮电费、工会经费、其他商品和服务支出。</w:t>
      </w:r>
    </w:p>
    <w:p w14:paraId="2A3DA530">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3A596940">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7D647AC5">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年度相比，政府性基金预算财政拨款支出增加0万元，增长0%，主要原因是没有该项预算。</w:t>
      </w:r>
    </w:p>
    <w:p w14:paraId="1D4BCE30">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148EBA9E">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年度政府性基金预算财政拨款支出0万元。</w:t>
      </w:r>
    </w:p>
    <w:p w14:paraId="0E504D9B">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10308BE3">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年度政府性基金预算财政拨款支出年初预算为0万元，支出决算为0万元，完成年初预算的0%。</w:t>
      </w:r>
    </w:p>
    <w:p w14:paraId="6BE8CDDC">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6C1783ED">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18C4D6B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年度相比，国有资本经营预算财政拨款支出增加0万元，增长0%，主要原因是没有该项预算。</w:t>
      </w:r>
    </w:p>
    <w:p w14:paraId="04863EAA">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4F88CF3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年度国有资本经营预算财政拨款支出0万元。</w:t>
      </w:r>
    </w:p>
    <w:p w14:paraId="2FF76B1C">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0D66D66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年度国有资本经营预算财政拨款支出年初预算为0万元，支出决算为0万元，完成年初预算的0%。</w:t>
      </w:r>
    </w:p>
    <w:p w14:paraId="4467FCDD">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九、一般公共预算财政拨款“三公”经费支出决算情况说明</w:t>
      </w:r>
    </w:p>
    <w:p w14:paraId="0A121B52">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4A8E5C6B">
      <w:pPr>
        <w:ind w:firstLine="64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年度一般公共预算财政拨款“三公”经费支出预算为0万元，支出决算为0万元，完成预算的0%，支出决算与预算数持平。</w:t>
      </w:r>
    </w:p>
    <w:p w14:paraId="5ACC2E43">
      <w:pPr>
        <w:ind w:firstLine="640"/>
        <w:rPr>
          <w:rFonts w:ascii="楷体" w:hAnsi="楷体" w:eastAsia="楷体" w:cs="楷体"/>
          <w:b/>
          <w:bCs/>
          <w:sz w:val="32"/>
          <w:szCs w:val="32"/>
        </w:rPr>
      </w:pPr>
      <w:r>
        <w:rPr>
          <w:rFonts w:hint="eastAsia" w:ascii="楷体" w:hAnsi="楷体" w:eastAsia="楷体" w:cs="楷体"/>
          <w:b/>
          <w:bCs/>
          <w:sz w:val="32"/>
          <w:szCs w:val="32"/>
        </w:rPr>
        <w:t>（二）一般公共预算财政拨款“三公”经费支出决算具体情况说明。</w:t>
      </w:r>
    </w:p>
    <w:p w14:paraId="37265DC5">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年度一般公共预算财政拨款“三公”经费支出决算中，因公出国（境）费支出决算0万元，占0%；公务用车购置及运行费支出决算0万元，占0%；公务接待费支出决算0万元，占0%。具体情况如下：</w:t>
      </w:r>
    </w:p>
    <w:p w14:paraId="14553A23">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70597C0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5E0F41B6">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16CF77E4">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2A4CA635">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33D8A4C8">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7425C795">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7553939C">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3CBF47B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5BEF5E6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2813FE14">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十、政府性基金预算财政拨款“三公”经费支出决算情况说明</w:t>
      </w:r>
    </w:p>
    <w:p w14:paraId="23A4C8B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年度政府性基金预算财政拨款“三公”经费支出合计0万元。其中：因公出国（境）费支出决算0万元，占0%；公务用车购置及运行费支出决算0万元，占0%；公务接待费支出决算0万元，占0%。</w:t>
      </w:r>
    </w:p>
    <w:p w14:paraId="22326377">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十一、国有资本经营预算财政拨款“三公”经费支出决算情况说明</w:t>
      </w:r>
    </w:p>
    <w:p w14:paraId="21983B0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年度国有资本经营预算财政拨款“三公”经费支出合计0万元。其中：因公出国（境）费支出决算0万元，占0%；公务用车购置及运行费支出决算0万元，占0%；公务接待费支出决算0万元，占0%。</w:t>
      </w:r>
    </w:p>
    <w:p w14:paraId="6E62B967">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14:paraId="1EFAB1BD">
      <w:p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14:paraId="7015FFD0">
      <w:pPr>
        <w:spacing w:line="578"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根据财政预算管理要求，三亚市天涯区</w:t>
      </w:r>
      <w:r>
        <w:rPr>
          <w:rFonts w:hint="eastAsia" w:ascii="仿宋_GB2312" w:hAnsi="Times New Roman" w:eastAsia="仿宋_GB2312" w:cs="Times New Roman"/>
          <w:sz w:val="32"/>
          <w:szCs w:val="32"/>
          <w:lang w:eastAsia="zh-CN"/>
        </w:rPr>
        <w:t>扎南小学</w:t>
      </w:r>
      <w:r>
        <w:rPr>
          <w:rFonts w:hint="eastAsia" w:ascii="仿宋_GB2312" w:hAnsi="Times New Roman" w:eastAsia="仿宋_GB2312" w:cs="Times New Roman"/>
          <w:sz w:val="32"/>
          <w:szCs w:val="32"/>
        </w:rPr>
        <w:t>对</w:t>
      </w:r>
      <w:r>
        <w:rPr>
          <w:rFonts w:hint="eastAsia" w:ascii="仿宋_GB2312" w:hAnsi="Times New Roman" w:eastAsia="仿宋_GB2312" w:cs="Times New Roman"/>
          <w:sz w:val="32"/>
          <w:szCs w:val="32"/>
          <w:lang w:eastAsia="zh-CN"/>
        </w:rPr>
        <w:t>2023</w:t>
      </w:r>
      <w:r>
        <w:rPr>
          <w:rFonts w:hint="eastAsia" w:ascii="仿宋_GB2312" w:hAnsi="Times New Roman" w:eastAsia="仿宋_GB2312" w:cs="Times New Roman"/>
          <w:sz w:val="32"/>
          <w:szCs w:val="32"/>
        </w:rPr>
        <w:t>年度一般公共预算项目支出全面开展绩效自评。自评项目</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个，共涉及资金</w:t>
      </w:r>
      <w:r>
        <w:rPr>
          <w:rFonts w:hint="eastAsia" w:ascii="仿宋_GB2312" w:hAnsi="Times New Roman" w:eastAsia="仿宋_GB2312" w:cs="Times New Roman"/>
          <w:sz w:val="32"/>
          <w:szCs w:val="32"/>
          <w:lang w:val="en-US" w:eastAsia="zh-CN"/>
        </w:rPr>
        <w:t>67.01</w:t>
      </w:r>
      <w:r>
        <w:rPr>
          <w:rFonts w:hint="eastAsia" w:ascii="仿宋_GB2312" w:hAnsi="Times New Roman" w:eastAsia="仿宋_GB2312" w:cs="Times New Roman"/>
          <w:sz w:val="32"/>
          <w:szCs w:val="32"/>
        </w:rPr>
        <w:t>万元，自评覆盖率达到100%。</w:t>
      </w:r>
    </w:p>
    <w:p w14:paraId="0C651D06">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共组织对“人才引进及师资队伍建设”、“教育教学管理及监督”、“公用经费”</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课后服务专项经费</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个项目开展了部门评价，涉及资金</w:t>
      </w:r>
      <w:r>
        <w:rPr>
          <w:rFonts w:hint="eastAsia" w:ascii="仿宋_GB2312" w:hAnsi="Times New Roman" w:eastAsia="仿宋_GB2312" w:cs="Times New Roman"/>
          <w:sz w:val="32"/>
          <w:szCs w:val="32"/>
          <w:lang w:val="en-US" w:eastAsia="zh-CN"/>
        </w:rPr>
        <w:t>67.01</w:t>
      </w:r>
      <w:r>
        <w:rPr>
          <w:rFonts w:hint="eastAsia" w:ascii="仿宋_GB2312" w:hAnsi="Times New Roman" w:eastAsia="仿宋_GB2312" w:cs="Times New Roman"/>
          <w:sz w:val="32"/>
          <w:szCs w:val="32"/>
        </w:rPr>
        <w:t>万元。</w:t>
      </w:r>
    </w:p>
    <w:p w14:paraId="03AB918B">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开展整体支出绩效评价，涉及资金</w:t>
      </w:r>
      <w:r>
        <w:rPr>
          <w:rFonts w:hint="eastAsia" w:ascii="仿宋_GB2312" w:hAnsi="Times New Roman" w:eastAsia="仿宋_GB2312" w:cs="Times New Roman"/>
          <w:sz w:val="32"/>
          <w:szCs w:val="32"/>
          <w:lang w:val="en-US" w:eastAsia="zh-CN"/>
        </w:rPr>
        <w:t>67.01</w:t>
      </w:r>
      <w:r>
        <w:rPr>
          <w:rFonts w:hint="eastAsia" w:ascii="仿宋_GB2312" w:hAnsi="Times New Roman" w:eastAsia="仿宋_GB2312" w:cs="Times New Roman"/>
          <w:sz w:val="32"/>
          <w:szCs w:val="32"/>
        </w:rPr>
        <w:t>万元。</w:t>
      </w:r>
    </w:p>
    <w:p w14:paraId="276721CC">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14:paraId="6AA1D7E4">
      <w:pPr>
        <w:spacing w:line="578" w:lineRule="exact"/>
        <w:rPr>
          <w:rFonts w:ascii="仿宋_GB2312" w:hAnsi="Times New Roman" w:eastAsia="仿宋_GB2312" w:cs="Times New Roman"/>
          <w:color w:val="FF0000"/>
          <w:sz w:val="32"/>
          <w:szCs w:val="32"/>
          <w:highlight w:val="yellow"/>
        </w:rPr>
      </w:pPr>
      <w:r>
        <w:rPr>
          <w:rFonts w:hint="eastAsia" w:ascii="楷体" w:hAnsi="楷体" w:eastAsia="楷体" w:cs="楷体"/>
          <w:b/>
          <w:color w:val="000000" w:themeColor="text1"/>
          <w:sz w:val="32"/>
          <w:szCs w:val="32"/>
          <w14:textFill>
            <w14:solidFill>
              <w14:schemeClr w14:val="tx1"/>
            </w14:solidFill>
          </w14:textFill>
        </w:rPr>
        <w:t xml:space="preserve">    </w:t>
      </w:r>
      <w:r>
        <w:rPr>
          <w:rFonts w:hint="eastAsia" w:ascii="仿宋_GB2312" w:hAnsi="Times New Roman" w:eastAsia="仿宋_GB2312" w:cs="Times New Roman"/>
          <w:sz w:val="32"/>
          <w:szCs w:val="32"/>
        </w:rPr>
        <w:t xml:space="preserve">为了改善学校办学条件，完善学校硬件设备，保障学校平稳发展满足学校教学需求，学校引进师资队伍；并购置电子白板、速印机、计算机等，该项目支出都从学校公用经费支出，学校存在经费缺口，还有大批设备未完成采购。 </w:t>
      </w:r>
      <w:r>
        <w:rPr>
          <w:rFonts w:hint="eastAsia" w:ascii="楷体" w:hAnsi="楷体" w:eastAsia="楷体" w:cs="楷体"/>
          <w:b/>
          <w:color w:val="000000" w:themeColor="text1"/>
          <w:sz w:val="32"/>
          <w:szCs w:val="32"/>
          <w14:textFill>
            <w14:solidFill>
              <w14:schemeClr w14:val="tx1"/>
            </w14:solidFill>
          </w14:textFill>
        </w:rPr>
        <w:t xml:space="preserve"> </w:t>
      </w:r>
    </w:p>
    <w:p w14:paraId="3EB824B7">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财政评价项目绩效评价结果。</w:t>
      </w:r>
    </w:p>
    <w:p w14:paraId="1DB111B9">
      <w:pPr>
        <w:spacing w:line="578" w:lineRule="exact"/>
        <w:ind w:firstLine="1280" w:firstLineChars="4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无。</w:t>
      </w:r>
    </w:p>
    <w:p w14:paraId="19FD8240">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部门评价项目绩效评价结果。</w:t>
      </w:r>
    </w:p>
    <w:p w14:paraId="10C51536">
      <w:pPr>
        <w:spacing w:line="578" w:lineRule="exact"/>
        <w:ind w:left="420" w:leftChars="200" w:firstLine="960" w:firstLineChars="300"/>
        <w:rPr>
          <w:rFonts w:ascii="楷体" w:hAnsi="楷体" w:eastAsia="楷体" w:cs="楷体"/>
          <w:b/>
          <w:color w:val="000000" w:themeColor="text1"/>
          <w:sz w:val="32"/>
          <w:szCs w:val="32"/>
          <w14:textFill>
            <w14:solidFill>
              <w14:schemeClr w14:val="tx1"/>
            </w14:solidFill>
          </w14:textFill>
        </w:rPr>
      </w:pPr>
      <w:r>
        <w:rPr>
          <w:rFonts w:hint="eastAsia" w:ascii="仿宋_GB2312" w:hAnsi="Times New Roman" w:eastAsia="仿宋_GB2312" w:cs="Times New Roman"/>
          <w:sz w:val="32"/>
          <w:szCs w:val="32"/>
        </w:rPr>
        <w:t>无。</w:t>
      </w:r>
    </w:p>
    <w:p w14:paraId="3CD035D9">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14:paraId="33C139D7">
      <w:pPr>
        <w:ind w:firstLine="643" w:firstLineChars="200"/>
        <w:rPr>
          <w:rFonts w:ascii="楷体" w:hAnsi="楷体" w:eastAsia="楷体" w:cs="楷体"/>
          <w:b/>
          <w:sz w:val="32"/>
          <w:szCs w:val="32"/>
        </w:rPr>
      </w:pPr>
      <w:bookmarkStart w:id="99" w:name="_Toc23598_WPSOffice_Level2"/>
      <w:bookmarkStart w:id="100" w:name="_Toc15262_WPSOffice_Level2"/>
      <w:bookmarkStart w:id="101" w:name="_Toc5978_WPSOffice_Level2"/>
      <w:bookmarkStart w:id="102" w:name="_Toc32639_WPSOffice_Level2"/>
      <w:bookmarkStart w:id="103" w:name="_Toc15565_WPSOffice_Level2"/>
      <w:bookmarkStart w:id="104" w:name="_Toc18325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5C8D03B0">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eastAsia="zh-CN"/>
          <w14:textFill>
            <w14:solidFill>
              <w14:schemeClr w14:val="tx1"/>
            </w14:solidFill>
          </w14:textFill>
        </w:rPr>
        <w:t>扎南小学</w:t>
      </w:r>
      <w:r>
        <w:rPr>
          <w:rFonts w:hint="eastAsia" w:ascii="仿宋_GB2312" w:hAnsi="ˎ̥" w:eastAsia="仿宋_GB2312" w:cs="Times New Roman"/>
          <w:color w:val="000000" w:themeColor="text1"/>
          <w:sz w:val="32"/>
          <w:szCs w:val="32"/>
          <w14:textFill>
            <w14:solidFill>
              <w14:schemeClr w14:val="tx1"/>
            </w14:solidFill>
          </w14:textFill>
        </w:rPr>
        <w:t>机关运行经费0万元。主要原因是：事业单位没</w:t>
      </w:r>
      <w:r>
        <w:rPr>
          <w:rFonts w:hint="eastAsia" w:ascii="仿宋_GB2312" w:hAnsi="ˎ̥" w:eastAsia="仿宋_GB2312" w:cs="Times New Roman"/>
          <w:sz w:val="32"/>
          <w:szCs w:val="32"/>
        </w:rPr>
        <w:t>有机关运行经费支出</w:t>
      </w:r>
    </w:p>
    <w:p w14:paraId="2A01E1EA">
      <w:pPr>
        <w:ind w:firstLine="643" w:firstLineChars="200"/>
        <w:rPr>
          <w:rFonts w:ascii="楷体" w:hAnsi="楷体" w:eastAsia="楷体" w:cs="楷体"/>
          <w:b/>
          <w:sz w:val="32"/>
          <w:szCs w:val="32"/>
        </w:rPr>
      </w:pPr>
      <w:bookmarkStart w:id="105" w:name="_Toc13084_WPSOffice_Level2"/>
      <w:bookmarkStart w:id="106" w:name="_Toc23966_WPSOffice_Level2"/>
      <w:bookmarkStart w:id="107" w:name="_Toc25333_WPSOffice_Level2"/>
      <w:bookmarkStart w:id="108" w:name="_Toc30383_WPSOffice_Level2"/>
      <w:bookmarkStart w:id="109" w:name="_Toc3131_WPSOffice_Level2"/>
      <w:bookmarkStart w:id="110" w:name="_Toc32689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68427C59">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eastAsia="zh-CN"/>
          <w14:textFill>
            <w14:solidFill>
              <w14:schemeClr w14:val="tx1"/>
            </w14:solidFill>
          </w14:textFill>
        </w:rPr>
        <w:t>扎南小学</w:t>
      </w:r>
      <w:r>
        <w:rPr>
          <w:rFonts w:hint="eastAsia" w:ascii="仿宋_GB2312" w:hAnsi="ˎ̥" w:eastAsia="仿宋_GB2312" w:cs="Times New Roman"/>
          <w:color w:val="000000" w:themeColor="text1"/>
          <w:sz w:val="32"/>
          <w:szCs w:val="32"/>
          <w14:textFill>
            <w14:solidFill>
              <w14:schemeClr w14:val="tx1"/>
            </w14:solidFill>
          </w14:textFill>
        </w:rPr>
        <w:t>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14:paraId="085A8A46">
      <w:pPr>
        <w:ind w:firstLine="643" w:firstLineChars="200"/>
        <w:rPr>
          <w:rFonts w:ascii="楷体" w:hAnsi="楷体" w:eastAsia="楷体" w:cs="楷体"/>
          <w:b/>
          <w:sz w:val="32"/>
          <w:szCs w:val="32"/>
        </w:rPr>
      </w:pPr>
      <w:bookmarkStart w:id="111" w:name="_Toc15129_WPSOffice_Level2"/>
      <w:bookmarkStart w:id="112" w:name="_Toc29584_WPSOffice_Level2"/>
      <w:bookmarkStart w:id="113" w:name="_Toc19989_WPSOffice_Level2"/>
      <w:bookmarkStart w:id="114" w:name="_Toc10902_WPSOffice_Level2"/>
      <w:bookmarkStart w:id="115" w:name="_Toc6016_WPSOffice_Level2"/>
      <w:bookmarkStart w:id="116" w:name="_Toc527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14:paraId="5B65E80C">
      <w:pPr>
        <w:spacing w:line="578" w:lineRule="exact"/>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截至</w:t>
      </w: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年12月31日，本部门占用房屋面积25.41平方米，其中：办公用房0平方米，业务用房25.41平方米，其他（不含构筑物）0平方米。</w:t>
      </w:r>
    </w:p>
    <w:p w14:paraId="6900677F">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37F6C2C9">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4945913F">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5C9BE890">
      <w:pPr>
        <w:jc w:val="center"/>
        <w:rPr>
          <w:rFonts w:ascii="黑体" w:hAnsi="ˎ̥" w:eastAsia="黑体" w:cs="Times New Roman"/>
          <w:sz w:val="32"/>
          <w:szCs w:val="32"/>
        </w:rPr>
      </w:pPr>
      <w:bookmarkStart w:id="117" w:name="_Toc17580_WPSOffice_Level1"/>
      <w:bookmarkStart w:id="118" w:name="_Toc11039_WPSOffice_Level1"/>
      <w:bookmarkStart w:id="119" w:name="_Toc15425_WPSOffice_Level1"/>
      <w:bookmarkStart w:id="120" w:name="_Toc8874_WPSOffice_Level1"/>
      <w:bookmarkStart w:id="121" w:name="_Toc8808_WPSOffice_Level1"/>
      <w:bookmarkStart w:id="122" w:name="_Toc4398_WPSOffice_Level1"/>
      <w:r>
        <w:rPr>
          <w:rFonts w:hint="eastAsia" w:ascii="黑体" w:hAnsi="ˎ̥" w:eastAsia="黑体" w:cs="Times New Roman"/>
          <w:sz w:val="32"/>
          <w:szCs w:val="32"/>
        </w:rPr>
        <w:t>第四部分  名词解释</w:t>
      </w:r>
      <w:bookmarkEnd w:id="117"/>
      <w:bookmarkEnd w:id="118"/>
      <w:bookmarkEnd w:id="119"/>
      <w:bookmarkEnd w:id="120"/>
      <w:bookmarkEnd w:id="121"/>
      <w:bookmarkEnd w:id="122"/>
    </w:p>
    <w:p w14:paraId="27BDA582">
      <w:pPr>
        <w:jc w:val="center"/>
        <w:rPr>
          <w:rFonts w:ascii="黑体" w:hAnsi="ˎ̥" w:eastAsia="黑体" w:cs="Times New Roman"/>
          <w:sz w:val="32"/>
          <w:szCs w:val="32"/>
        </w:rPr>
      </w:pPr>
    </w:p>
    <w:p w14:paraId="6C59AC3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一、财政拨款收入：指本级财政当年拨付的资金。</w:t>
      </w:r>
    </w:p>
    <w:p w14:paraId="4770B81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二、事业收入：指事业单位开展专业业务活动及辅助活动取得的收入。</w:t>
      </w:r>
    </w:p>
    <w:p w14:paraId="2CC515A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三、经营收入：指事业单位在专业业务活动及其辅助活动之外开展非独立核算经营活动取得的收入。</w:t>
      </w:r>
    </w:p>
    <w:p w14:paraId="68A0D2E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四、其他收入：指除上述“财政拨款收入”“事业收入”“经营收入”等以外的收入。</w:t>
      </w:r>
    </w:p>
    <w:p w14:paraId="7D00F3B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0A54283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六、年初结转和结余：指以前年度尚未完成、结转到本年按有关规定继续使用的资金。</w:t>
      </w:r>
    </w:p>
    <w:p w14:paraId="7EB80F2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七、结余分配：指事业单位按规定提取的职工福利基金、事业基金和缴纳的所得税，以及建设单位按规定应交回的基本建设竣工项目结余资金。</w:t>
      </w:r>
    </w:p>
    <w:p w14:paraId="7246E27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八、年末结转和结余：指本年度或以前年度预算安排、因客观条件发生变化无法按原计划实施，需要延迟到以后年度按有关规定继续使用的资金。</w:t>
      </w:r>
    </w:p>
    <w:p w14:paraId="080D67A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九、基本支出：指为保障机构正常运转、完成日常工作任务而发生的人员支出和公用支出。</w:t>
      </w:r>
    </w:p>
    <w:p w14:paraId="4E36B57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十、项目支出：指在基本支出之外为完成特定行政任务和事业发展目标所发生的支出。</w:t>
      </w:r>
    </w:p>
    <w:p w14:paraId="16B4FEF3">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十一、经营支出：指事业单位在专业业务活动及其辅助活动之外开展非独立核算经营活动发生的支出。</w:t>
      </w:r>
    </w:p>
    <w:p w14:paraId="5DB923B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58D3440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9B75712"/>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FD1E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6</w:t>
    </w:r>
    <w:r>
      <w:fldChar w:fldCharType="end"/>
    </w:r>
  </w:p>
  <w:p w14:paraId="4CC62CBD">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F5ECF">
    <w:pPr>
      <w:pStyle w:val="2"/>
      <w:framePr w:wrap="around" w:vAnchor="text" w:hAnchor="margin" w:xAlign="center" w:y="1"/>
      <w:rPr>
        <w:rStyle w:val="6"/>
      </w:rPr>
    </w:pPr>
    <w:r>
      <w:fldChar w:fldCharType="begin"/>
    </w:r>
    <w:r>
      <w:rPr>
        <w:rStyle w:val="6"/>
      </w:rPr>
      <w:instrText xml:space="preserve">PAGE  </w:instrText>
    </w:r>
    <w:r>
      <w:fldChar w:fldCharType="end"/>
    </w:r>
  </w:p>
  <w:p w14:paraId="05ADA7A4">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62DEB672"/>
    <w:multiLevelType w:val="singleLevel"/>
    <w:tmpl w:val="62DEB672"/>
    <w:lvl w:ilvl="0" w:tentative="0">
      <w:start w:val="1"/>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5N2EyMDEyZjk1OTMyMGZlNDllYjFhNWEwMTAyZjUifQ=="/>
  </w:docVars>
  <w:rsids>
    <w:rsidRoot w:val="00D32ACE"/>
    <w:rsid w:val="000121A9"/>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52EE6"/>
    <w:rsid w:val="00877D96"/>
    <w:rsid w:val="00880C2C"/>
    <w:rsid w:val="008D3791"/>
    <w:rsid w:val="00914ABF"/>
    <w:rsid w:val="009213AB"/>
    <w:rsid w:val="00930AC0"/>
    <w:rsid w:val="00943DE7"/>
    <w:rsid w:val="00954A09"/>
    <w:rsid w:val="0096011F"/>
    <w:rsid w:val="009C68E4"/>
    <w:rsid w:val="009E6620"/>
    <w:rsid w:val="00A062C9"/>
    <w:rsid w:val="00A133CD"/>
    <w:rsid w:val="00A20588"/>
    <w:rsid w:val="00A44290"/>
    <w:rsid w:val="00A47069"/>
    <w:rsid w:val="00A54072"/>
    <w:rsid w:val="00A92FC5"/>
    <w:rsid w:val="00AF1C32"/>
    <w:rsid w:val="00B512BF"/>
    <w:rsid w:val="00B57416"/>
    <w:rsid w:val="00C01B66"/>
    <w:rsid w:val="00C3564D"/>
    <w:rsid w:val="00CD5803"/>
    <w:rsid w:val="00CF76E7"/>
    <w:rsid w:val="00D16F7B"/>
    <w:rsid w:val="00D30F7F"/>
    <w:rsid w:val="00D32ACE"/>
    <w:rsid w:val="00DB6ECB"/>
    <w:rsid w:val="00DD0AC5"/>
    <w:rsid w:val="00E23916"/>
    <w:rsid w:val="00E60416"/>
    <w:rsid w:val="00EC1A2B"/>
    <w:rsid w:val="00F054C6"/>
    <w:rsid w:val="00F11B99"/>
    <w:rsid w:val="00F12AB2"/>
    <w:rsid w:val="00F93E07"/>
    <w:rsid w:val="00FC402A"/>
    <w:rsid w:val="01366C30"/>
    <w:rsid w:val="04807AAD"/>
    <w:rsid w:val="05E6585C"/>
    <w:rsid w:val="091B5ECD"/>
    <w:rsid w:val="09C70460"/>
    <w:rsid w:val="0A31526B"/>
    <w:rsid w:val="0C6F2338"/>
    <w:rsid w:val="12261B29"/>
    <w:rsid w:val="132C0D0F"/>
    <w:rsid w:val="14D918C2"/>
    <w:rsid w:val="17124C72"/>
    <w:rsid w:val="1B08268A"/>
    <w:rsid w:val="1B084650"/>
    <w:rsid w:val="1D686ACF"/>
    <w:rsid w:val="1DCB4F1E"/>
    <w:rsid w:val="1E3E4F0A"/>
    <w:rsid w:val="20E36D41"/>
    <w:rsid w:val="210461B3"/>
    <w:rsid w:val="22C20BF1"/>
    <w:rsid w:val="242B4E3C"/>
    <w:rsid w:val="2562714D"/>
    <w:rsid w:val="25BA09E5"/>
    <w:rsid w:val="27E16118"/>
    <w:rsid w:val="28091E43"/>
    <w:rsid w:val="28331352"/>
    <w:rsid w:val="28EB477E"/>
    <w:rsid w:val="2AC82E3D"/>
    <w:rsid w:val="2E007A1F"/>
    <w:rsid w:val="2F441FA2"/>
    <w:rsid w:val="2F7F4E2C"/>
    <w:rsid w:val="319F04F9"/>
    <w:rsid w:val="32D570E6"/>
    <w:rsid w:val="34EA2D09"/>
    <w:rsid w:val="357021CB"/>
    <w:rsid w:val="37F25055"/>
    <w:rsid w:val="39981863"/>
    <w:rsid w:val="39AD76D2"/>
    <w:rsid w:val="3A981EFF"/>
    <w:rsid w:val="3D9D05CF"/>
    <w:rsid w:val="3E734EFE"/>
    <w:rsid w:val="3F8A2017"/>
    <w:rsid w:val="42982C27"/>
    <w:rsid w:val="43F85575"/>
    <w:rsid w:val="4439397F"/>
    <w:rsid w:val="44F54D66"/>
    <w:rsid w:val="4703102D"/>
    <w:rsid w:val="4705491E"/>
    <w:rsid w:val="47870662"/>
    <w:rsid w:val="49255820"/>
    <w:rsid w:val="4A1701F0"/>
    <w:rsid w:val="4BFE59DC"/>
    <w:rsid w:val="4C920D4B"/>
    <w:rsid w:val="4DF3237F"/>
    <w:rsid w:val="4F1929D4"/>
    <w:rsid w:val="4F254CA1"/>
    <w:rsid w:val="50636B18"/>
    <w:rsid w:val="55CE46B5"/>
    <w:rsid w:val="55F5398B"/>
    <w:rsid w:val="55F8457D"/>
    <w:rsid w:val="58067E17"/>
    <w:rsid w:val="596235EA"/>
    <w:rsid w:val="59EC62F0"/>
    <w:rsid w:val="5AA2763D"/>
    <w:rsid w:val="5CCB4073"/>
    <w:rsid w:val="5D200291"/>
    <w:rsid w:val="5DE34B5D"/>
    <w:rsid w:val="5ECD1A47"/>
    <w:rsid w:val="5EEC4E6D"/>
    <w:rsid w:val="6730746C"/>
    <w:rsid w:val="6A170CCD"/>
    <w:rsid w:val="6A22372A"/>
    <w:rsid w:val="6B675C3C"/>
    <w:rsid w:val="6E340F38"/>
    <w:rsid w:val="70382752"/>
    <w:rsid w:val="70AA07D0"/>
    <w:rsid w:val="71832F8D"/>
    <w:rsid w:val="719D784E"/>
    <w:rsid w:val="720B1B57"/>
    <w:rsid w:val="750254F7"/>
    <w:rsid w:val="753F4E19"/>
    <w:rsid w:val="754D5B45"/>
    <w:rsid w:val="75EF7DDE"/>
    <w:rsid w:val="770D1A50"/>
    <w:rsid w:val="777C3B73"/>
    <w:rsid w:val="77E139D3"/>
    <w:rsid w:val="780C50C4"/>
    <w:rsid w:val="79A0064C"/>
    <w:rsid w:val="7AA826F4"/>
    <w:rsid w:val="7AAA22EA"/>
    <w:rsid w:val="7AD503D1"/>
    <w:rsid w:val="7B7C3913"/>
    <w:rsid w:val="7CB17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列出段落1"/>
    <w:basedOn w:val="1"/>
    <w:qFormat/>
    <w:uiPriority w:val="34"/>
    <w:pPr>
      <w:ind w:firstLine="420" w:firstLineChars="200"/>
    </w:pPr>
  </w:style>
  <w:style w:type="paragraph" w:customStyle="1" w:styleId="10">
    <w:name w:val="列出段落1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5467</Words>
  <Characters>5896</Characters>
  <Lines>54</Lines>
  <Paragraphs>15</Paragraphs>
  <TotalTime>41</TotalTime>
  <ScaleCrop>false</ScaleCrop>
  <LinksUpToDate>false</LinksUpToDate>
  <CharactersWithSpaces>6007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陈志峰</cp:lastModifiedBy>
  <cp:lastPrinted>2024-10-16T01:48:00Z</cp:lastPrinted>
  <dcterms:modified xsi:type="dcterms:W3CDTF">2024-10-16T02:49:42Z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81B60A46020D4043AF4CE17566B0822E_13</vt:lpwstr>
  </property>
</Properties>
</file>