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6A5A3">
      <w:pPr>
        <w:jc w:val="center"/>
        <w:rPr>
          <w:rFonts w:ascii="黑体" w:hAnsi="宋体" w:eastAsia="黑体" w:cs="Times New Roman"/>
          <w:sz w:val="32"/>
          <w:szCs w:val="32"/>
        </w:rPr>
      </w:pPr>
    </w:p>
    <w:p w14:paraId="715217D2">
      <w:pPr>
        <w:jc w:val="center"/>
        <w:rPr>
          <w:rFonts w:ascii="黑体" w:hAnsi="ˎ̥" w:eastAsia="黑体" w:cs="Times New Roman"/>
          <w:sz w:val="44"/>
          <w:szCs w:val="44"/>
        </w:rPr>
      </w:pPr>
      <w:r>
        <w:rPr>
          <w:rFonts w:hint="eastAsia" w:ascii="黑体" w:hAnsi="ˎ̥" w:eastAsia="黑体" w:cs="Times New Roman"/>
          <w:sz w:val="44"/>
          <w:szCs w:val="44"/>
        </w:rPr>
        <w:t>三亚市</w:t>
      </w:r>
      <w:r>
        <w:rPr>
          <w:rFonts w:hint="eastAsia" w:ascii="黑体" w:hAnsi="ˎ̥" w:eastAsia="黑体" w:cs="Times New Roman"/>
          <w:sz w:val="44"/>
          <w:szCs w:val="44"/>
          <w:lang w:eastAsia="zh-CN"/>
        </w:rPr>
        <w:t>南岛学校2023</w:t>
      </w:r>
      <w:r>
        <w:rPr>
          <w:rFonts w:hint="eastAsia" w:ascii="黑体" w:hAnsi="ˎ̥" w:eastAsia="黑体" w:cs="Times New Roman"/>
          <w:sz w:val="44"/>
          <w:szCs w:val="44"/>
        </w:rPr>
        <w:t>年度</w:t>
      </w:r>
    </w:p>
    <w:p w14:paraId="065C84D1">
      <w:pPr>
        <w:jc w:val="center"/>
        <w:rPr>
          <w:rFonts w:ascii="黑体" w:hAnsi="ˎ̥" w:eastAsia="黑体" w:cs="Times New Roman"/>
          <w:sz w:val="44"/>
          <w:szCs w:val="44"/>
        </w:rPr>
      </w:pPr>
      <w:r>
        <w:rPr>
          <w:rFonts w:hint="eastAsia" w:ascii="黑体" w:hAnsi="ˎ̥" w:eastAsia="黑体" w:cs="Times New Roman"/>
          <w:sz w:val="44"/>
          <w:szCs w:val="44"/>
          <w:lang w:val="en-US" w:eastAsia="zh-CN"/>
        </w:rPr>
        <w:t>部门</w:t>
      </w:r>
      <w:r>
        <w:rPr>
          <w:rFonts w:hint="eastAsia" w:ascii="黑体" w:hAnsi="ˎ̥" w:eastAsia="黑体" w:cs="Times New Roman"/>
          <w:sz w:val="44"/>
          <w:szCs w:val="44"/>
        </w:rPr>
        <w:t>决算公开文字说明</w:t>
      </w:r>
    </w:p>
    <w:p w14:paraId="371685F8">
      <w:pPr>
        <w:jc w:val="center"/>
        <w:rPr>
          <w:rFonts w:ascii="黑体" w:hAnsi="ˎ̥" w:eastAsia="黑体" w:cs="Times New Roman"/>
          <w:b/>
          <w:sz w:val="32"/>
          <w:szCs w:val="32"/>
        </w:rPr>
      </w:pPr>
    </w:p>
    <w:p w14:paraId="223DA216">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14:paraId="30387F41">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"_Toc1704_WPSOffice_Level1" </w:instrText>
      </w:r>
      <w:r>
        <w:fldChar w:fldCharType="separate"/>
      </w:r>
      <w:r>
        <w:rPr>
          <w:rFonts w:hint="eastAsia" w:ascii="黑体" w:hAnsi="ˎ̥" w:eastAsia="黑体" w:cs="Times New Roman"/>
          <w:kern w:val="0"/>
          <w:sz w:val="32"/>
          <w:szCs w:val="32"/>
        </w:rPr>
        <w:t>第一部分  三亚市</w:t>
      </w:r>
      <w:r>
        <w:rPr>
          <w:rFonts w:hint="eastAsia" w:ascii="黑体" w:hAnsi="ˎ̥" w:eastAsia="黑体" w:cs="Times New Roman"/>
          <w:kern w:val="0"/>
          <w:sz w:val="32"/>
          <w:szCs w:val="32"/>
          <w:lang w:eastAsia="zh-CN"/>
        </w:rPr>
        <w:t>南岛学校</w:t>
      </w:r>
      <w:r>
        <w:rPr>
          <w:rFonts w:hint="eastAsia" w:ascii="黑体" w:hAnsi="ˎ̥" w:eastAsia="黑体" w:cs="Times New Roman"/>
          <w:kern w:val="0"/>
          <w:sz w:val="32"/>
          <w:szCs w:val="32"/>
        </w:rPr>
        <w:t>概况</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7E885F84">
      <w:pPr>
        <w:widowControl/>
        <w:tabs>
          <w:tab w:val="right" w:leader="dot" w:pos="8306"/>
        </w:tabs>
        <w:jc w:val="left"/>
        <w:rPr>
          <w:rFonts w:ascii="仿宋" w:hAnsi="仿宋" w:eastAsia="仿宋" w:cs="仿宋"/>
          <w:kern w:val="0"/>
          <w:sz w:val="32"/>
          <w:szCs w:val="32"/>
        </w:rPr>
      </w:pPr>
      <w:r>
        <w:fldChar w:fldCharType="begin"/>
      </w:r>
      <w:r>
        <w:instrText xml:space="preserve"> HYPERLINK \l "_Toc20274_WPSOffice_Level2" </w:instrText>
      </w:r>
      <w:r>
        <w:fldChar w:fldCharType="separate"/>
      </w: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2CF054EF">
      <w:pPr>
        <w:widowControl/>
        <w:tabs>
          <w:tab w:val="right" w:leader="dot" w:pos="8306"/>
        </w:tabs>
        <w:jc w:val="left"/>
        <w:rPr>
          <w:rFonts w:ascii="仿宋" w:hAnsi="仿宋" w:eastAsia="仿宋" w:cs="仿宋"/>
          <w:kern w:val="0"/>
          <w:sz w:val="32"/>
          <w:szCs w:val="32"/>
        </w:rPr>
      </w:pPr>
      <w:r>
        <w:fldChar w:fldCharType="begin"/>
      </w:r>
      <w:r>
        <w:instrText xml:space="preserve"> HYPERLINK \l "_Toc4833_WPSOffice_Level2" </w:instrText>
      </w:r>
      <w:r>
        <w:fldChar w:fldCharType="separate"/>
      </w: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702A7C0A">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"_Toc28253_WPSOffice_Level1" </w:instrText>
      </w:r>
      <w:r>
        <w:fldChar w:fldCharType="separate"/>
      </w:r>
      <w:r>
        <w:rPr>
          <w:rFonts w:hint="eastAsia" w:ascii="黑体" w:hAnsi="ˎ̥" w:eastAsia="黑体" w:cs="Times New Roman"/>
          <w:kern w:val="0"/>
          <w:sz w:val="32"/>
          <w:szCs w:val="32"/>
        </w:rPr>
        <w:t>第二部分  三亚市</w:t>
      </w:r>
      <w:r>
        <w:rPr>
          <w:rFonts w:hint="eastAsia" w:ascii="黑体" w:hAnsi="ˎ̥" w:eastAsia="黑体" w:cs="Times New Roman"/>
          <w:kern w:val="0"/>
          <w:sz w:val="32"/>
          <w:szCs w:val="32"/>
          <w:lang w:eastAsia="zh-CN"/>
        </w:rPr>
        <w:t>南岛学校2023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决算公开表</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fldChar w:fldCharType="end"/>
      </w:r>
    </w:p>
    <w:p w14:paraId="6CB23203">
      <w:pPr>
        <w:widowControl/>
        <w:tabs>
          <w:tab w:val="right" w:leader="dot" w:pos="8306"/>
        </w:tabs>
        <w:jc w:val="left"/>
        <w:rPr>
          <w:rFonts w:ascii="仿宋" w:hAnsi="仿宋" w:eastAsia="仿宋" w:cs="仿宋"/>
          <w:kern w:val="0"/>
          <w:sz w:val="32"/>
          <w:szCs w:val="32"/>
        </w:rPr>
      </w:pPr>
      <w:r>
        <w:fldChar w:fldCharType="begin"/>
      </w:r>
      <w:r>
        <w:instrText xml:space="preserve"> HYPERLINK \l "_Toc11518_WPSOffice_Level2" </w:instrText>
      </w:r>
      <w:r>
        <w:fldChar w:fldCharType="separate"/>
      </w:r>
      <w:r>
        <w:rPr>
          <w:rFonts w:hint="eastAsia" w:ascii="仿宋" w:hAnsi="仿宋" w:eastAsia="仿宋" w:cs="仿宋"/>
          <w:kern w:val="0"/>
          <w:sz w:val="32"/>
          <w:szCs w:val="32"/>
        </w:rPr>
        <w:t>一、收入支出决算公开表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9D877A9">
      <w:pPr>
        <w:widowControl/>
        <w:tabs>
          <w:tab w:val="right" w:leader="dot" w:pos="8306"/>
        </w:tabs>
        <w:jc w:val="left"/>
        <w:rPr>
          <w:rFonts w:ascii="仿宋" w:hAnsi="仿宋" w:eastAsia="仿宋" w:cs="仿宋"/>
          <w:kern w:val="0"/>
          <w:sz w:val="32"/>
          <w:szCs w:val="32"/>
        </w:rPr>
      </w:pPr>
      <w:r>
        <w:fldChar w:fldCharType="begin"/>
      </w:r>
      <w:r>
        <w:instrText xml:space="preserve"> HYPERLINK \l "_Toc28622_WPSOffice_Level2" </w:instrText>
      </w:r>
      <w:r>
        <w:fldChar w:fldCharType="separate"/>
      </w:r>
      <w:r>
        <w:rPr>
          <w:rFonts w:hint="eastAsia" w:ascii="仿宋" w:hAnsi="仿宋" w:eastAsia="仿宋" w:cs="仿宋"/>
          <w:kern w:val="0"/>
          <w:sz w:val="32"/>
          <w:szCs w:val="32"/>
        </w:rPr>
        <w:t>二、收入决算公开表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94D3E45">
      <w:pPr>
        <w:widowControl/>
        <w:tabs>
          <w:tab w:val="right" w:leader="dot" w:pos="8306"/>
        </w:tabs>
        <w:jc w:val="left"/>
        <w:rPr>
          <w:rFonts w:ascii="仿宋" w:hAnsi="仿宋" w:eastAsia="仿宋" w:cs="仿宋"/>
          <w:kern w:val="0"/>
          <w:sz w:val="32"/>
          <w:szCs w:val="32"/>
        </w:rPr>
      </w:pPr>
      <w:r>
        <w:fldChar w:fldCharType="begin"/>
      </w:r>
      <w:r>
        <w:instrText xml:space="preserve"> HYPERLINK \l "_Toc5489_WPSOffice_Level2" </w:instrText>
      </w:r>
      <w:r>
        <w:fldChar w:fldCharType="separate"/>
      </w:r>
      <w:r>
        <w:rPr>
          <w:rFonts w:hint="eastAsia" w:ascii="仿宋" w:hAnsi="仿宋" w:eastAsia="仿宋" w:cs="仿宋"/>
          <w:kern w:val="0"/>
          <w:sz w:val="32"/>
          <w:szCs w:val="32"/>
        </w:rPr>
        <w:t>三、支出决算公开表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709BF223">
      <w:pPr>
        <w:widowControl/>
        <w:tabs>
          <w:tab w:val="right" w:leader="dot" w:pos="8306"/>
        </w:tabs>
        <w:jc w:val="left"/>
        <w:rPr>
          <w:rFonts w:ascii="仿宋" w:hAnsi="仿宋" w:eastAsia="仿宋" w:cs="仿宋"/>
          <w:kern w:val="0"/>
          <w:sz w:val="32"/>
          <w:szCs w:val="32"/>
        </w:rPr>
      </w:pPr>
      <w:r>
        <w:fldChar w:fldCharType="begin"/>
      </w:r>
      <w:r>
        <w:instrText xml:space="preserve"> HYPERLINK \l "_Toc23493_WPSOffice_Level2" </w:instrText>
      </w:r>
      <w:r>
        <w:fldChar w:fldCharType="separate"/>
      </w:r>
      <w:r>
        <w:rPr>
          <w:rFonts w:hint="eastAsia" w:ascii="仿宋" w:hAnsi="仿宋" w:eastAsia="仿宋" w:cs="仿宋"/>
          <w:kern w:val="0"/>
          <w:sz w:val="32"/>
          <w:szCs w:val="32"/>
        </w:rPr>
        <w:t>四、财政拨款收入支出决算公开表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78439E6">
      <w:pPr>
        <w:widowControl/>
        <w:tabs>
          <w:tab w:val="right" w:leader="dot" w:pos="8306"/>
        </w:tabs>
        <w:jc w:val="left"/>
        <w:rPr>
          <w:rFonts w:ascii="仿宋" w:hAnsi="仿宋" w:eastAsia="仿宋" w:cs="仿宋"/>
          <w:kern w:val="0"/>
          <w:sz w:val="32"/>
          <w:szCs w:val="32"/>
        </w:rPr>
      </w:pPr>
      <w:r>
        <w:fldChar w:fldCharType="begin"/>
      </w:r>
      <w:r>
        <w:instrText xml:space="preserve"> HYPERLINK \l "_Toc7879_WPSOffice_Level2" </w:instrText>
      </w:r>
      <w:r>
        <w:fldChar w:fldCharType="separate"/>
      </w:r>
      <w:r>
        <w:rPr>
          <w:rFonts w:hint="eastAsia" w:ascii="仿宋" w:hAnsi="仿宋" w:eastAsia="仿宋" w:cs="仿宋"/>
          <w:kern w:val="0"/>
          <w:sz w:val="32"/>
          <w:szCs w:val="32"/>
        </w:rPr>
        <w:t>五、一般公共预算财政拨款收入支出决算公开表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1F54F8D1">
      <w:pPr>
        <w:widowControl/>
        <w:tabs>
          <w:tab w:val="right" w:leader="dot" w:pos="8306"/>
        </w:tabs>
        <w:jc w:val="left"/>
        <w:rPr>
          <w:rFonts w:ascii="仿宋" w:hAnsi="仿宋" w:eastAsia="仿宋" w:cs="仿宋"/>
          <w:kern w:val="0"/>
          <w:sz w:val="32"/>
          <w:szCs w:val="32"/>
        </w:rPr>
      </w:pPr>
      <w:r>
        <w:fldChar w:fldCharType="begin"/>
      </w:r>
      <w:r>
        <w:instrText xml:space="preserve"> HYPERLINK \l "_Toc8373_WPSOffice_Level2" </w:instrText>
      </w:r>
      <w:r>
        <w:fldChar w:fldCharType="separate"/>
      </w:r>
      <w:r>
        <w:rPr>
          <w:rFonts w:hint="eastAsia" w:ascii="仿宋" w:hAnsi="仿宋" w:eastAsia="仿宋" w:cs="仿宋"/>
          <w:kern w:val="0"/>
          <w:sz w:val="32"/>
          <w:szCs w:val="32"/>
        </w:rPr>
        <w:t>六、一般公共预算财政拨款基本支出决算公开表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6F264E3">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七、政府性基金预算财政拨款收入支出决算公开表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44514CB4">
      <w:pPr>
        <w:widowControl/>
        <w:tabs>
          <w:tab w:val="right" w:leader="dot" w:pos="8306"/>
        </w:tabs>
        <w:jc w:val="left"/>
        <w:rPr>
          <w:rFonts w:ascii="仿宋" w:hAnsi="仿宋" w:eastAsia="仿宋" w:cs="仿宋"/>
          <w:kern w:val="0"/>
          <w:sz w:val="32"/>
          <w:szCs w:val="32"/>
        </w:rPr>
      </w:pPr>
      <w:r>
        <w:fldChar w:fldCharType="begin"/>
      </w:r>
      <w:r>
        <w:instrText xml:space="preserve"> HYPERLINK \l "_Toc1820_WPSOffice_Level2" </w:instrText>
      </w:r>
      <w:r>
        <w:fldChar w:fldCharType="separate"/>
      </w:r>
      <w:r>
        <w:rPr>
          <w:rFonts w:hint="eastAsia" w:ascii="仿宋" w:hAnsi="仿宋" w:eastAsia="仿宋" w:cs="仿宋"/>
          <w:kern w:val="0"/>
          <w:sz w:val="32"/>
          <w:szCs w:val="32"/>
        </w:rPr>
        <w:t>八、国有资本经营预算财政拨款收入支出决算公开表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04A867F">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九、一般公共预算财政拨款“三公”经费支出决算公开表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51ACBAE6">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十、政府性基金预算财政拨款“三公”经费支出决算公开表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3</w:t>
      </w:r>
    </w:p>
    <w:p w14:paraId="0CA93EF8">
      <w:pPr>
        <w:widowControl/>
        <w:tabs>
          <w:tab w:val="right" w:leader="dot" w:pos="8306"/>
        </w:tabs>
        <w:jc w:val="left"/>
        <w:rPr>
          <w:rFonts w:ascii="仿宋" w:hAnsi="仿宋" w:eastAsia="仿宋" w:cs="仿宋"/>
          <w:kern w:val="0"/>
          <w:sz w:val="32"/>
          <w:szCs w:val="32"/>
        </w:rPr>
      </w:pPr>
      <w:r>
        <w:fldChar w:fldCharType="begin"/>
      </w:r>
      <w:r>
        <w:instrText xml:space="preserve"> HYPERLINK \l "_Toc21310_WPSOffice_Level2" </w:instrText>
      </w:r>
      <w:r>
        <w:fldChar w:fldCharType="separate"/>
      </w:r>
      <w:r>
        <w:rPr>
          <w:rFonts w:hint="eastAsia" w:ascii="仿宋" w:hAnsi="仿宋" w:eastAsia="仿宋" w:cs="仿宋"/>
          <w:kern w:val="0"/>
          <w:sz w:val="32"/>
          <w:szCs w:val="32"/>
        </w:rPr>
        <w:t>十一、国有资本经营预算财政拨款“三公”经费支出决算公开表</w:t>
      </w:r>
      <w:r>
        <w:rPr>
          <w:rFonts w:hint="eastAsia" w:ascii="仿宋" w:hAnsi="仿宋" w:eastAsia="仿宋" w:cs="仿宋"/>
          <w:kern w:val="0"/>
          <w:sz w:val="32"/>
          <w:szCs w:val="32"/>
        </w:rPr>
        <w:tab/>
      </w:r>
      <w:r>
        <w:rPr>
          <w:rFonts w:hint="eastAsia" w:ascii="仿宋" w:hAnsi="仿宋" w:eastAsia="仿宋" w:cs="仿宋"/>
          <w:kern w:val="0"/>
          <w:sz w:val="32"/>
          <w:szCs w:val="32"/>
        </w:rPr>
        <w:t>3</w:t>
      </w:r>
      <w:r>
        <w:rPr>
          <w:rFonts w:hint="eastAsia" w:ascii="仿宋" w:hAnsi="仿宋" w:eastAsia="仿宋" w:cs="仿宋"/>
          <w:kern w:val="0"/>
          <w:sz w:val="32"/>
          <w:szCs w:val="32"/>
        </w:rPr>
        <w:fldChar w:fldCharType="end"/>
      </w:r>
    </w:p>
    <w:p w14:paraId="011AD529">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"_Toc27590_WPSOffice_Level1" </w:instrText>
      </w:r>
      <w:r>
        <w:fldChar w:fldCharType="separate"/>
      </w:r>
      <w:r>
        <w:rPr>
          <w:rFonts w:hint="eastAsia" w:ascii="黑体" w:hAnsi="黑体" w:eastAsia="黑体" w:cs="黑体"/>
          <w:kern w:val="0"/>
          <w:sz w:val="32"/>
          <w:szCs w:val="32"/>
        </w:rPr>
        <w:t>第三部分</w:t>
      </w:r>
      <w:r>
        <w:rPr>
          <w:rFonts w:hint="eastAsia" w:ascii="Times New Roman" w:hAnsi="Times New Roman" w:eastAsia="宋体" w:cs="Times New Roman"/>
          <w:kern w:val="0"/>
          <w:sz w:val="32"/>
          <w:szCs w:val="32"/>
        </w:rPr>
        <w:t xml:space="preserve">  </w:t>
      </w:r>
      <w:r>
        <w:rPr>
          <w:rFonts w:hint="eastAsia" w:ascii="黑体" w:hAnsi="黑体" w:eastAsia="黑体" w:cs="Times New Roman"/>
          <w:kern w:val="0"/>
          <w:sz w:val="32"/>
          <w:szCs w:val="32"/>
        </w:rPr>
        <w:t>三亚市</w:t>
      </w:r>
      <w:r>
        <w:rPr>
          <w:rFonts w:hint="eastAsia" w:ascii="黑体" w:hAnsi="ˎ̥" w:eastAsia="黑体" w:cs="Times New Roman"/>
          <w:kern w:val="0"/>
          <w:sz w:val="32"/>
          <w:szCs w:val="32"/>
          <w:lang w:eastAsia="zh-CN"/>
        </w:rPr>
        <w:t>南岛学校2023</w:t>
      </w:r>
      <w:r>
        <w:rPr>
          <w:rFonts w:hint="eastAsia" w:ascii="黑体" w:hAnsi="ˎ̥" w:eastAsia="黑体" w:cs="Times New Roman"/>
          <w:kern w:val="0"/>
          <w:sz w:val="32"/>
          <w:szCs w:val="32"/>
        </w:rPr>
        <w:t>年度</w:t>
      </w:r>
      <w:r>
        <w:rPr>
          <w:rFonts w:hint="eastAsia" w:ascii="黑体" w:hAnsi="ˎ̥" w:eastAsia="黑体" w:cs="Times New Roman"/>
          <w:kern w:val="0"/>
          <w:sz w:val="32"/>
          <w:szCs w:val="32"/>
          <w:lang w:val="en-US" w:eastAsia="zh-CN"/>
        </w:rPr>
        <w:t>部门</w:t>
      </w:r>
      <w:r>
        <w:rPr>
          <w:rFonts w:hint="eastAsia" w:ascii="黑体" w:hAnsi="ˎ̥" w:eastAsia="黑体" w:cs="Times New Roman"/>
          <w:kern w:val="0"/>
          <w:sz w:val="32"/>
          <w:szCs w:val="32"/>
        </w:rPr>
        <w:t>决算情况说明</w:t>
      </w:r>
      <w:r>
        <w:rPr>
          <w:rFonts w:ascii="Times New Roman" w:hAnsi="Times New Roman" w:eastAsia="宋体" w:cs="Times New Roman"/>
          <w:kern w:val="0"/>
          <w:sz w:val="32"/>
          <w:szCs w:val="32"/>
        </w:rPr>
        <w:tab/>
      </w: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fldChar w:fldCharType="end"/>
      </w:r>
    </w:p>
    <w:p w14:paraId="31518031">
      <w:pPr>
        <w:widowControl/>
        <w:tabs>
          <w:tab w:val="right" w:leader="dot" w:pos="8306"/>
        </w:tabs>
        <w:jc w:val="left"/>
        <w:rPr>
          <w:rFonts w:ascii="仿宋" w:hAnsi="仿宋" w:eastAsia="仿宋" w:cs="仿宋"/>
          <w:kern w:val="0"/>
          <w:sz w:val="32"/>
          <w:szCs w:val="32"/>
        </w:rPr>
      </w:pPr>
      <w:r>
        <w:fldChar w:fldCharType="begin"/>
      </w:r>
      <w:r>
        <w:instrText xml:space="preserve"> HYPERLINK \l "_Toc21737_WPSOffice_Level2" </w:instrText>
      </w:r>
      <w:r>
        <w:fldChar w:fldCharType="separate"/>
      </w: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rPr>
        <w:t>4</w:t>
      </w:r>
      <w:r>
        <w:rPr>
          <w:rFonts w:hint="eastAsia" w:ascii="仿宋" w:hAnsi="仿宋" w:eastAsia="仿宋" w:cs="仿宋"/>
          <w:kern w:val="0"/>
          <w:sz w:val="32"/>
          <w:szCs w:val="32"/>
        </w:rPr>
        <w:fldChar w:fldCharType="end"/>
      </w:r>
    </w:p>
    <w:p w14:paraId="0CEAEDA3">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53EEAAA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6997DF4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四、财政拨款收入支出决算情况说明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5</w:t>
      </w:r>
      <w:r>
        <w:rPr>
          <w:rFonts w:hint="eastAsia" w:ascii="仿宋" w:hAnsi="仿宋" w:eastAsia="仿宋" w:cs="仿宋"/>
          <w:kern w:val="0"/>
          <w:sz w:val="32"/>
          <w:szCs w:val="32"/>
        </w:rPr>
        <w:fldChar w:fldCharType="end"/>
      </w:r>
    </w:p>
    <w:p w14:paraId="02D5952A">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6</w:t>
      </w:r>
      <w:r>
        <w:rPr>
          <w:rFonts w:hint="eastAsia" w:ascii="仿宋" w:hAnsi="仿宋" w:eastAsia="仿宋" w:cs="仿宋"/>
          <w:kern w:val="0"/>
          <w:sz w:val="32"/>
          <w:szCs w:val="32"/>
        </w:rPr>
        <w:fldChar w:fldCharType="end"/>
      </w:r>
    </w:p>
    <w:p w14:paraId="7A3288D4">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bCs/>
          <w:kern w:val="0"/>
          <w:sz w:val="32"/>
          <w:szCs w:val="32"/>
        </w:rPr>
        <w:fldChar w:fldCharType="end"/>
      </w:r>
      <w:r>
        <w:rPr>
          <w:rFonts w:hint="eastAsia" w:ascii="仿宋" w:hAnsi="仿宋" w:eastAsia="仿宋" w:cs="仿宋"/>
          <w:kern w:val="0"/>
          <w:sz w:val="32"/>
          <w:szCs w:val="32"/>
        </w:rPr>
        <w:tab/>
      </w:r>
      <w:r>
        <w:rPr>
          <w:rFonts w:hint="eastAsia" w:ascii="仿宋" w:hAnsi="仿宋" w:eastAsia="仿宋" w:cs="仿宋"/>
          <w:kern w:val="0"/>
          <w:sz w:val="32"/>
          <w:szCs w:val="32"/>
        </w:rPr>
        <w:t>7</w:t>
      </w:r>
    </w:p>
    <w:p w14:paraId="5E5B9711">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5E9AE820">
      <w:pPr>
        <w:widowControl/>
        <w:numPr>
          <w:ilvl w:val="0"/>
          <w:numId w:val="1"/>
        </w:numPr>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国有资本经营预算财政拨款收入支出决算情况说明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rPr>
        <w:t>8</w:t>
      </w:r>
    </w:p>
    <w:p w14:paraId="1D06A86F">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38E48D14">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8</w:t>
      </w:r>
    </w:p>
    <w:p w14:paraId="41E40DFE">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14:paraId="3E45A5B5">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5907C611">
      <w:pPr>
        <w:rPr>
          <w:rFonts w:ascii="仿宋" w:hAnsi="仿宋" w:eastAsia="仿宋" w:cs="仿宋"/>
          <w:w w:val="91"/>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14:paraId="08A15EEC">
      <w:pPr>
        <w:widowControl/>
        <w:tabs>
          <w:tab w:val="right" w:leader="dot" w:pos="8306"/>
        </w:tabs>
        <w:jc w:val="left"/>
        <w:rPr>
          <w:rFonts w:ascii="仿宋" w:hAnsi="仿宋" w:eastAsia="仿宋" w:cs="仿宋"/>
          <w:kern w:val="0"/>
          <w:sz w:val="32"/>
          <w:szCs w:val="32"/>
        </w:rPr>
      </w:pP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3A7A2845">
      <w:pPr>
        <w:widowControl/>
        <w:tabs>
          <w:tab w:val="right" w:leader="dot" w:pos="8306"/>
        </w:tabs>
        <w:jc w:val="left"/>
        <w:rPr>
          <w:rFonts w:ascii="仿宋" w:hAnsi="仿宋" w:eastAsia="仿宋" w:cs="仿宋"/>
          <w:kern w:val="0"/>
          <w:sz w:val="32"/>
          <w:szCs w:val="32"/>
        </w:rPr>
      </w:pPr>
      <w:r>
        <w:fldChar w:fldCharType="begin"/>
      </w:r>
      <w:r>
        <w:instrText xml:space="preserve"> HYPERLINK \l "_Toc19535_WPSOffice_Level2" </w:instrText>
      </w:r>
      <w:r>
        <w:fldChar w:fldCharType="separate"/>
      </w:r>
      <w:r>
        <w:rPr>
          <w:rFonts w:hint="eastAsia" w:ascii="仿宋" w:hAnsi="仿宋" w:eastAsia="仿宋" w:cs="仿宋"/>
          <w:bCs/>
          <w:kern w:val="0"/>
          <w:sz w:val="32"/>
          <w:szCs w:val="32"/>
        </w:rPr>
        <w:t>十二、预算绩效情况说明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10</w:t>
      </w:r>
    </w:p>
    <w:p w14:paraId="6F020AF1">
      <w:pPr>
        <w:widowControl/>
        <w:tabs>
          <w:tab w:val="right" w:leader="dot" w:pos="8306"/>
        </w:tabs>
        <w:jc w:val="left"/>
        <w:rPr>
          <w:rFonts w:ascii="仿宋" w:hAnsi="仿宋" w:eastAsia="仿宋" w:cs="仿宋"/>
          <w:kern w:val="0"/>
          <w:sz w:val="32"/>
          <w:szCs w:val="32"/>
        </w:rPr>
      </w:pPr>
      <w:r>
        <w:rPr>
          <w:rFonts w:hint="eastAsia" w:ascii="仿宋" w:hAnsi="仿宋" w:eastAsia="仿宋" w:cs="仿宋"/>
          <w:bCs/>
          <w:kern w:val="0"/>
          <w:sz w:val="32"/>
          <w:szCs w:val="32"/>
        </w:rPr>
        <w:t>十三、其他重要事项情况说明</w:t>
      </w:r>
      <w:r>
        <w:rPr>
          <w:rFonts w:hint="eastAsia" w:ascii="仿宋" w:hAnsi="仿宋" w:eastAsia="仿宋" w:cs="仿宋"/>
          <w:kern w:val="0"/>
          <w:sz w:val="32"/>
          <w:szCs w:val="32"/>
        </w:rPr>
        <w:tab/>
      </w:r>
      <w:r>
        <w:rPr>
          <w:rFonts w:hint="eastAsia" w:ascii="仿宋" w:hAnsi="仿宋" w:eastAsia="仿宋" w:cs="仿宋"/>
          <w:kern w:val="0"/>
          <w:sz w:val="32"/>
          <w:szCs w:val="32"/>
        </w:rPr>
        <w:t>11</w:t>
      </w:r>
    </w:p>
    <w:p w14:paraId="41B53787">
      <w:pPr>
        <w:widowControl/>
        <w:tabs>
          <w:tab w:val="right" w:leader="dot" w:pos="8306"/>
        </w:tabs>
        <w:jc w:val="left"/>
        <w:rPr>
          <w:rFonts w:ascii="Times New Roman" w:hAnsi="Times New Roman" w:eastAsia="宋体" w:cs="Times New Roman"/>
          <w:kern w:val="0"/>
          <w:sz w:val="32"/>
          <w:szCs w:val="32"/>
        </w:rPr>
      </w:pPr>
      <w:r>
        <w:fldChar w:fldCharType="begin"/>
      </w:r>
      <w:r>
        <w:instrText xml:space="preserve"> HYPERLINK \l "_Toc15425_WPSOffice_Level1" </w:instrText>
      </w:r>
      <w:r>
        <w:fldChar w:fldCharType="separate"/>
      </w:r>
      <w:r>
        <w:rPr>
          <w:rFonts w:hint="eastAsia" w:ascii="黑体" w:hAnsi="ˎ̥" w:eastAsia="黑体" w:cs="Times New Roman"/>
          <w:kern w:val="0"/>
          <w:sz w:val="32"/>
          <w:szCs w:val="32"/>
        </w:rPr>
        <w:t>第四部分  名词解释</w:t>
      </w:r>
      <w:r>
        <w:rPr>
          <w:rFonts w:ascii="Times New Roman" w:hAnsi="Times New Roman" w:eastAsia="宋体" w:cs="Times New Roman"/>
          <w:kern w:val="0"/>
          <w:sz w:val="32"/>
          <w:szCs w:val="32"/>
        </w:rPr>
        <w:tab/>
      </w:r>
      <w:bookmarkStart w:id="1" w:name="_Toc15425_WPSOffice_Level1Page"/>
      <w:r>
        <w:rPr>
          <w:rFonts w:ascii="Times New Roman" w:hAnsi="Times New Roman" w:eastAsia="宋体" w:cs="Times New Roman"/>
          <w:kern w:val="0"/>
          <w:sz w:val="32"/>
          <w:szCs w:val="32"/>
        </w:rPr>
        <w:t>1</w:t>
      </w:r>
      <w:bookmarkEnd w:id="1"/>
      <w:r>
        <w:rPr>
          <w:rFonts w:ascii="Times New Roman" w:hAnsi="Times New Roman" w:eastAsia="宋体" w:cs="Times New Roman"/>
          <w:kern w:val="0"/>
          <w:sz w:val="32"/>
          <w:szCs w:val="32"/>
        </w:rPr>
        <w:fldChar w:fldCharType="end"/>
      </w:r>
      <w:bookmarkEnd w:id="0"/>
      <w:r>
        <w:rPr>
          <w:rFonts w:hint="eastAsia" w:ascii="Times New Roman" w:hAnsi="Times New Roman" w:eastAsia="宋体" w:cs="Times New Roman"/>
          <w:kern w:val="0"/>
          <w:sz w:val="32"/>
          <w:szCs w:val="32"/>
        </w:rPr>
        <w:t>4</w:t>
      </w:r>
    </w:p>
    <w:p w14:paraId="33CE42FB">
      <w:pPr>
        <w:jc w:val="left"/>
        <w:rPr>
          <w:rFonts w:ascii="黑体" w:hAnsi="黑体" w:eastAsia="黑体" w:cs="黑体"/>
          <w:sz w:val="32"/>
          <w:szCs w:val="32"/>
        </w:rPr>
      </w:pPr>
    </w:p>
    <w:p w14:paraId="0E1E9398">
      <w:pPr>
        <w:jc w:val="center"/>
        <w:rPr>
          <w:rFonts w:ascii="黑体" w:hAnsi="ˎ̥" w:eastAsia="黑体" w:cs="Times New Roman"/>
          <w:b/>
          <w:sz w:val="32"/>
          <w:szCs w:val="32"/>
        </w:rPr>
      </w:pPr>
    </w:p>
    <w:p w14:paraId="771E8E7F">
      <w:pPr>
        <w:jc w:val="center"/>
        <w:rPr>
          <w:rFonts w:ascii="黑体" w:hAnsi="ˎ̥" w:eastAsia="黑体" w:cs="Times New Roman"/>
          <w:sz w:val="32"/>
          <w:szCs w:val="32"/>
        </w:rPr>
      </w:pPr>
      <w:bookmarkStart w:id="2" w:name="_Toc1704_WPSOffice_Level1"/>
      <w:bookmarkStart w:id="3" w:name="_Toc10049_WPSOffice_Level1"/>
      <w:bookmarkStart w:id="4" w:name="_Toc10720_WPSOffice_Level1"/>
      <w:bookmarkStart w:id="5" w:name="_Toc22941_WPSOffice_Level1"/>
      <w:bookmarkStart w:id="6" w:name="_Toc32433_WPSOffice_Level1"/>
      <w:bookmarkStart w:id="7" w:name="_Toc23465_WPSOffice_Level1"/>
      <w:bookmarkStart w:id="8" w:name="_Toc24238_WPSOffice_Level2"/>
      <w:bookmarkStart w:id="9" w:name="_Toc32622_WPSOffice_Level2"/>
      <w:bookmarkStart w:id="10" w:name="_Toc26580_WPSOffice_Level2"/>
      <w:bookmarkStart w:id="11" w:name="_Toc20274_WPSOffice_Level2"/>
      <w:bookmarkStart w:id="12" w:name="_Toc20205_WPSOffice_Level2"/>
      <w:bookmarkStart w:id="13" w:name="_Toc14159_WPSOffice_Level2"/>
      <w:r>
        <w:rPr>
          <w:rFonts w:hint="eastAsia" w:ascii="黑体" w:hAnsi="ˎ̥" w:eastAsia="黑体" w:cs="Times New Roman"/>
          <w:sz w:val="32"/>
          <w:szCs w:val="32"/>
        </w:rPr>
        <w:t>第一部分  三亚市</w:t>
      </w:r>
      <w:r>
        <w:rPr>
          <w:rFonts w:hint="eastAsia" w:ascii="黑体" w:hAnsi="ˎ̥" w:eastAsia="黑体" w:cs="Times New Roman"/>
          <w:sz w:val="32"/>
          <w:szCs w:val="32"/>
          <w:lang w:eastAsia="zh-CN"/>
        </w:rPr>
        <w:t>南岛学校</w:t>
      </w:r>
      <w:r>
        <w:rPr>
          <w:rFonts w:hint="eastAsia" w:ascii="黑体" w:hAnsi="ˎ̥" w:eastAsia="黑体" w:cs="Times New Roman"/>
          <w:sz w:val="32"/>
          <w:szCs w:val="32"/>
        </w:rPr>
        <w:t>单位概况</w:t>
      </w:r>
      <w:bookmarkEnd w:id="2"/>
      <w:bookmarkEnd w:id="3"/>
      <w:bookmarkEnd w:id="4"/>
      <w:bookmarkEnd w:id="5"/>
      <w:bookmarkEnd w:id="6"/>
      <w:bookmarkEnd w:id="7"/>
    </w:p>
    <w:p w14:paraId="25C3C87F">
      <w:pPr>
        <w:ind w:firstLine="640" w:firstLineChars="200"/>
        <w:rPr>
          <w:rFonts w:ascii="楷体" w:hAnsi="楷体" w:eastAsia="楷体" w:cs="楷体"/>
          <w:sz w:val="32"/>
          <w:szCs w:val="32"/>
        </w:rPr>
      </w:pPr>
    </w:p>
    <w:p w14:paraId="778E2B00">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lang w:val="en-US" w:eastAsia="zh-CN"/>
        </w:rPr>
        <w:t>单位</w:t>
      </w:r>
      <w:r>
        <w:rPr>
          <w:rFonts w:hint="eastAsia" w:ascii="黑体" w:hAnsi="黑体" w:eastAsia="黑体" w:cs="黑体"/>
          <w:sz w:val="32"/>
          <w:szCs w:val="32"/>
        </w:rPr>
        <w:t>职责</w:t>
      </w:r>
      <w:bookmarkEnd w:id="9"/>
      <w:bookmarkEnd w:id="10"/>
      <w:bookmarkEnd w:id="11"/>
      <w:bookmarkEnd w:id="12"/>
      <w:bookmarkEnd w:id="13"/>
    </w:p>
    <w:p w14:paraId="29D97DCB">
      <w:pPr>
        <w:pStyle w:val="10"/>
        <w:ind w:firstLineChars="0"/>
        <w:jc w:val="left"/>
        <w:rPr>
          <w:rFonts w:ascii="黑体" w:hAnsi="黑体" w:eastAsia="黑体" w:cs="仿宋_GB2312"/>
          <w:sz w:val="32"/>
          <w:szCs w:val="32"/>
        </w:rPr>
      </w:pPr>
      <w:bookmarkStart w:id="14" w:name="_Toc17796_WPSOffice_Level2"/>
      <w:bookmarkStart w:id="15" w:name="_Toc6572_WPSOffice_Level2"/>
      <w:bookmarkStart w:id="16" w:name="_Toc24474_WPSOffice_Level2"/>
      <w:bookmarkStart w:id="17" w:name="_Toc4833_WPSOffice_Level2"/>
      <w:bookmarkStart w:id="18" w:name="_Toc24059_WPSOffice_Level2"/>
      <w:r>
        <w:rPr>
          <w:rFonts w:hint="eastAsia" w:ascii="仿宋_GB2312" w:eastAsia="仿宋_GB2312"/>
          <w:color w:val="000000"/>
          <w:sz w:val="32"/>
          <w:szCs w:val="32"/>
          <w:shd w:val="clear" w:color="auto" w:fill="FFFFFF"/>
        </w:rPr>
        <w:t>贯彻执行党和国家教育工作方针、政策和法律、法规，实施小学学历教育，推动基础教育事业发展；贯彻执行国家教育方针政策，传播科学教育观念，促进农村事业发展，促进小学体、智、德、美等和谐发展，保证学生身心健康和生命安全，促进家庭教育质量的不断提高。</w:t>
      </w:r>
    </w:p>
    <w:p w14:paraId="4B87B9FD">
      <w:pPr>
        <w:ind w:firstLine="640" w:firstLineChars="200"/>
        <w:rPr>
          <w:rFonts w:ascii="黑体" w:hAnsi="黑体" w:eastAsia="黑体" w:cs="黑体"/>
          <w:sz w:val="32"/>
          <w:szCs w:val="32"/>
        </w:rPr>
      </w:pPr>
      <w:r>
        <w:rPr>
          <w:rFonts w:hint="eastAsia" w:ascii="黑体" w:hAnsi="黑体" w:eastAsia="黑体" w:cs="黑体"/>
          <w:sz w:val="32"/>
          <w:szCs w:val="32"/>
        </w:rPr>
        <w:t>二、机构设置</w:t>
      </w:r>
      <w:bookmarkEnd w:id="14"/>
      <w:bookmarkEnd w:id="15"/>
      <w:bookmarkEnd w:id="16"/>
      <w:bookmarkEnd w:id="17"/>
      <w:bookmarkEnd w:id="18"/>
    </w:p>
    <w:p w14:paraId="76211426">
      <w:pPr>
        <w:ind w:firstLine="640" w:firstLineChars="200"/>
        <w:rPr>
          <w:rFonts w:ascii="仿宋_GB2312" w:hAnsi="ˎ̥" w:eastAsia="仿宋_GB2312" w:cs="Times New Roman"/>
          <w:sz w:val="32"/>
          <w:szCs w:val="32"/>
        </w:rPr>
      </w:pPr>
      <w:bookmarkStart w:id="19" w:name="_Toc6234_WPSOffice_Level1"/>
      <w:bookmarkStart w:id="20" w:name="_Toc8164_WPSOffice_Level1"/>
      <w:bookmarkStart w:id="21" w:name="_Toc30690_WPSOffice_Level1"/>
      <w:bookmarkStart w:id="22" w:name="_Toc28253_WPSOffice_Level1"/>
      <w:bookmarkStart w:id="23" w:name="_Toc30451_WPSOffice_Level1"/>
      <w:bookmarkStart w:id="24" w:name="_Toc15521_WPSOffice_Level1"/>
      <w:bookmarkStart w:id="25" w:name="_Toc6211_WPSOffice_Level2"/>
      <w:bookmarkStart w:id="26" w:name="_Toc8867_WPSOffice_Level2"/>
      <w:bookmarkStart w:id="27" w:name="_Toc32695_WPSOffice_Level2"/>
      <w:bookmarkStart w:id="28" w:name="_Toc11518_WPSOffice_Level2"/>
      <w:bookmarkStart w:id="29" w:name="_Toc4029_WPSOffice_Level2"/>
      <w:bookmarkStart w:id="30" w:name="_Toc32472_WPSOffice_Level2"/>
      <w:r>
        <w:rPr>
          <w:rFonts w:hint="eastAsia" w:ascii="仿宋_GB2312" w:hAnsi="ˎ̥" w:eastAsia="仿宋_GB2312" w:cs="Times New Roman"/>
          <w:sz w:val="32"/>
          <w:szCs w:val="32"/>
        </w:rPr>
        <w:t>单位内设机构即包括：</w:t>
      </w:r>
    </w:p>
    <w:p w14:paraId="0125D8A5">
      <w:pPr>
        <w:ind w:firstLine="640" w:firstLineChars="200"/>
        <w:rPr>
          <w:rFonts w:ascii="楷体" w:hAnsi="楷体" w:eastAsia="楷体" w:cs="楷体"/>
          <w:sz w:val="32"/>
          <w:szCs w:val="32"/>
        </w:rPr>
      </w:pPr>
      <w:bookmarkStart w:id="31" w:name="_Toc25738_WPSOffice_Level2"/>
      <w:bookmarkStart w:id="32" w:name="_Toc24421_WPSOffice_Level2"/>
      <w:r>
        <w:rPr>
          <w:rFonts w:hint="eastAsia" w:ascii="楷体" w:hAnsi="楷体" w:eastAsia="楷体" w:cs="楷体"/>
          <w:sz w:val="32"/>
          <w:szCs w:val="32"/>
        </w:rPr>
        <w:t>（一）</w:t>
      </w:r>
      <w:bookmarkEnd w:id="31"/>
      <w:bookmarkEnd w:id="32"/>
      <w:r>
        <w:rPr>
          <w:rFonts w:hint="eastAsia" w:ascii="楷体" w:hAnsi="楷体" w:eastAsia="楷体" w:cs="楷体"/>
          <w:sz w:val="32"/>
          <w:szCs w:val="32"/>
        </w:rPr>
        <w:t>校长室</w:t>
      </w:r>
    </w:p>
    <w:p w14:paraId="3E7BC0E7">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14:paraId="6C4CA9CE">
      <w:pPr>
        <w:ind w:firstLine="640" w:firstLineChars="200"/>
        <w:rPr>
          <w:rFonts w:ascii="楷体" w:hAnsi="楷体" w:eastAsia="楷体" w:cs="楷体"/>
          <w:sz w:val="32"/>
          <w:szCs w:val="32"/>
        </w:rPr>
      </w:pPr>
      <w:bookmarkStart w:id="33" w:name="_Toc19721_WPSOffice_Level2"/>
      <w:bookmarkStart w:id="34" w:name="_Toc4442_WPSOffice_Level2"/>
      <w:r>
        <w:rPr>
          <w:rFonts w:hint="eastAsia" w:ascii="楷体" w:hAnsi="楷体" w:eastAsia="楷体" w:cs="楷体"/>
          <w:sz w:val="32"/>
          <w:szCs w:val="32"/>
        </w:rPr>
        <w:t>（三）</w:t>
      </w:r>
      <w:bookmarkEnd w:id="33"/>
      <w:bookmarkEnd w:id="34"/>
      <w:r>
        <w:rPr>
          <w:rFonts w:hint="eastAsia" w:ascii="楷体" w:hAnsi="楷体" w:eastAsia="楷体" w:cs="楷体"/>
          <w:sz w:val="32"/>
          <w:szCs w:val="32"/>
        </w:rPr>
        <w:t>教导处</w:t>
      </w:r>
    </w:p>
    <w:p w14:paraId="42D2AD6B">
      <w:pPr>
        <w:ind w:firstLine="640" w:firstLineChars="200"/>
        <w:rPr>
          <w:rFonts w:ascii="楷体" w:hAnsi="楷体" w:eastAsia="楷体" w:cs="楷体"/>
          <w:sz w:val="32"/>
          <w:szCs w:val="32"/>
        </w:rPr>
      </w:pPr>
      <w:r>
        <w:rPr>
          <w:rFonts w:hint="eastAsia" w:ascii="楷体" w:hAnsi="楷体" w:eastAsia="楷体" w:cs="楷体"/>
          <w:sz w:val="32"/>
          <w:szCs w:val="32"/>
        </w:rPr>
        <w:t>（四）总务处</w:t>
      </w:r>
    </w:p>
    <w:p w14:paraId="648F9974">
      <w:pPr>
        <w:ind w:firstLine="640" w:firstLineChars="200"/>
        <w:rPr>
          <w:rFonts w:ascii="楷体" w:hAnsi="楷体" w:eastAsia="楷体" w:cs="楷体"/>
          <w:sz w:val="32"/>
          <w:szCs w:val="32"/>
        </w:rPr>
      </w:pPr>
      <w:r>
        <w:rPr>
          <w:rFonts w:hint="eastAsia" w:ascii="楷体" w:hAnsi="楷体" w:eastAsia="楷体" w:cs="楷体"/>
          <w:sz w:val="32"/>
          <w:szCs w:val="32"/>
        </w:rPr>
        <w:t>（五）财务处</w:t>
      </w:r>
    </w:p>
    <w:p w14:paraId="6746B89A">
      <w:pPr>
        <w:ind w:firstLine="640" w:firstLineChars="200"/>
        <w:rPr>
          <w:rFonts w:ascii="楷体" w:hAnsi="楷体" w:eastAsia="楷体" w:cs="楷体"/>
          <w:sz w:val="32"/>
          <w:szCs w:val="32"/>
        </w:rPr>
      </w:pPr>
      <w:r>
        <w:rPr>
          <w:rFonts w:hint="eastAsia" w:ascii="楷体" w:hAnsi="楷体" w:eastAsia="楷体" w:cs="楷体"/>
          <w:sz w:val="32"/>
          <w:szCs w:val="32"/>
        </w:rPr>
        <w:t>（六）德育处</w:t>
      </w:r>
    </w:p>
    <w:p w14:paraId="6BC17DD6">
      <w:pPr>
        <w:jc w:val="center"/>
        <w:rPr>
          <w:rFonts w:ascii="黑体" w:hAnsi="ˎ̥" w:eastAsia="黑体" w:cs="Times New Roman"/>
          <w:sz w:val="32"/>
          <w:szCs w:val="32"/>
        </w:rPr>
      </w:pPr>
      <w:r>
        <w:rPr>
          <w:rFonts w:hint="eastAsia" w:ascii="黑体" w:hAnsi="ˎ̥" w:eastAsia="黑体" w:cs="Times New Roman"/>
          <w:sz w:val="32"/>
          <w:szCs w:val="32"/>
        </w:rPr>
        <w:t>第二部分  三亚市</w:t>
      </w:r>
      <w:r>
        <w:rPr>
          <w:rFonts w:hint="eastAsia" w:ascii="黑体" w:hAnsi="ˎ̥" w:eastAsia="黑体" w:cs="Times New Roman"/>
          <w:sz w:val="32"/>
          <w:szCs w:val="32"/>
          <w:lang w:eastAsia="zh-CN"/>
        </w:rPr>
        <w:t>南岛学校2023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决算公开报表</w:t>
      </w:r>
      <w:bookmarkEnd w:id="19"/>
      <w:bookmarkEnd w:id="20"/>
      <w:bookmarkEnd w:id="21"/>
      <w:bookmarkEnd w:id="22"/>
      <w:bookmarkEnd w:id="23"/>
      <w:bookmarkEnd w:id="24"/>
    </w:p>
    <w:p w14:paraId="5DE011B7">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14:paraId="02216492">
      <w:pPr>
        <w:ind w:firstLine="645"/>
        <w:rPr>
          <w:rFonts w:ascii="黑体" w:hAnsi="黑体" w:eastAsia="黑体" w:cs="黑体"/>
          <w:sz w:val="32"/>
          <w:szCs w:val="32"/>
        </w:rPr>
      </w:pPr>
      <w:bookmarkStart w:id="35" w:name="_Toc26621_WPSOffice_Level2"/>
      <w:bookmarkStart w:id="36" w:name="_Toc23139_WPSOffice_Level2"/>
      <w:bookmarkStart w:id="37" w:name="_Toc25608_WPSOffice_Level2"/>
      <w:bookmarkStart w:id="38" w:name="_Toc28622_WPSOffice_Level2"/>
      <w:bookmarkStart w:id="39" w:name="_Toc14349_WPSOffice_Level2"/>
      <w:bookmarkStart w:id="40" w:name="_Toc30334_WPSOffice_Level2"/>
      <w:r>
        <w:rPr>
          <w:rFonts w:hint="eastAsia" w:ascii="黑体" w:hAnsi="黑体" w:eastAsia="黑体" w:cs="黑体"/>
          <w:sz w:val="32"/>
          <w:szCs w:val="32"/>
        </w:rPr>
        <w:t>二、收入决算公开表（见正文附件）</w:t>
      </w:r>
      <w:bookmarkEnd w:id="35"/>
      <w:bookmarkEnd w:id="36"/>
      <w:bookmarkEnd w:id="37"/>
      <w:r>
        <w:rPr>
          <w:rFonts w:hint="eastAsia" w:ascii="黑体" w:hAnsi="黑体" w:eastAsia="黑体" w:cs="黑体"/>
          <w:sz w:val="32"/>
          <w:szCs w:val="32"/>
        </w:rPr>
        <w:t>。</w:t>
      </w:r>
      <w:bookmarkEnd w:id="38"/>
      <w:bookmarkEnd w:id="39"/>
      <w:bookmarkEnd w:id="40"/>
    </w:p>
    <w:p w14:paraId="4C48468F">
      <w:pPr>
        <w:ind w:firstLine="645"/>
        <w:rPr>
          <w:rFonts w:ascii="黑体" w:hAnsi="黑体" w:eastAsia="黑体" w:cs="黑体"/>
          <w:sz w:val="32"/>
          <w:szCs w:val="32"/>
        </w:rPr>
      </w:pPr>
      <w:bookmarkStart w:id="41" w:name="_Toc17626_WPSOffice_Level2"/>
      <w:bookmarkStart w:id="42" w:name="_Toc3262_WPSOffice_Level2"/>
      <w:bookmarkStart w:id="43" w:name="_Toc17858_WPSOffice_Level2"/>
      <w:bookmarkStart w:id="44" w:name="_Toc14658_WPSOffice_Level2"/>
      <w:bookmarkStart w:id="45" w:name="_Toc5489_WPSOffice_Level2"/>
      <w:bookmarkStart w:id="46" w:name="_Toc13854_WPSOffice_Level2"/>
      <w:r>
        <w:rPr>
          <w:rFonts w:hint="eastAsia" w:ascii="黑体" w:hAnsi="黑体" w:eastAsia="黑体" w:cs="黑体"/>
          <w:sz w:val="32"/>
          <w:szCs w:val="32"/>
        </w:rPr>
        <w:t>三、支出决算公开表（见正文附件）</w:t>
      </w:r>
      <w:bookmarkEnd w:id="41"/>
      <w:bookmarkEnd w:id="42"/>
      <w:bookmarkEnd w:id="43"/>
      <w:r>
        <w:rPr>
          <w:rFonts w:hint="eastAsia" w:ascii="黑体" w:hAnsi="黑体" w:eastAsia="黑体" w:cs="黑体"/>
          <w:sz w:val="32"/>
          <w:szCs w:val="32"/>
        </w:rPr>
        <w:t>。</w:t>
      </w:r>
      <w:bookmarkEnd w:id="44"/>
      <w:bookmarkEnd w:id="45"/>
      <w:bookmarkEnd w:id="46"/>
    </w:p>
    <w:p w14:paraId="5A0D9B4F">
      <w:pPr>
        <w:ind w:firstLine="645"/>
        <w:rPr>
          <w:rFonts w:ascii="黑体" w:hAnsi="黑体" w:eastAsia="黑体" w:cs="黑体"/>
          <w:sz w:val="32"/>
          <w:szCs w:val="32"/>
        </w:rPr>
      </w:pPr>
      <w:bookmarkStart w:id="47" w:name="_Toc23591_WPSOffice_Level2"/>
      <w:bookmarkStart w:id="48" w:name="_Toc13701_WPSOffice_Level2"/>
      <w:bookmarkStart w:id="49" w:name="_Toc21415_WPSOffice_Level2"/>
      <w:bookmarkStart w:id="50" w:name="_Toc23493_WPSOffice_Level2"/>
      <w:bookmarkStart w:id="51" w:name="_Toc4265_WPSOffice_Level2"/>
      <w:bookmarkStart w:id="52" w:name="_Toc7988_WPSOffice_Level2"/>
      <w:r>
        <w:rPr>
          <w:rFonts w:hint="eastAsia" w:ascii="黑体" w:hAnsi="黑体" w:eastAsia="黑体" w:cs="黑体"/>
          <w:sz w:val="32"/>
          <w:szCs w:val="32"/>
        </w:rPr>
        <w:t>四、财政拨款收入支出决算公开表（见正文附件）</w:t>
      </w:r>
      <w:bookmarkEnd w:id="47"/>
      <w:bookmarkEnd w:id="48"/>
      <w:bookmarkEnd w:id="49"/>
      <w:r>
        <w:rPr>
          <w:rFonts w:hint="eastAsia" w:ascii="黑体" w:hAnsi="黑体" w:eastAsia="黑体" w:cs="黑体"/>
          <w:sz w:val="32"/>
          <w:szCs w:val="32"/>
        </w:rPr>
        <w:t>。</w:t>
      </w:r>
      <w:bookmarkEnd w:id="50"/>
      <w:bookmarkEnd w:id="51"/>
      <w:bookmarkEnd w:id="52"/>
    </w:p>
    <w:p w14:paraId="73C639AA">
      <w:pPr>
        <w:ind w:firstLine="645"/>
        <w:rPr>
          <w:rFonts w:ascii="黑体" w:hAnsi="黑体" w:eastAsia="黑体" w:cs="黑体"/>
          <w:sz w:val="32"/>
          <w:szCs w:val="32"/>
        </w:rPr>
      </w:pPr>
      <w:bookmarkStart w:id="53" w:name="_Toc25166_WPSOffice_Level2"/>
      <w:bookmarkStart w:id="54" w:name="_Toc22783_WPSOffice_Level2"/>
      <w:bookmarkStart w:id="55" w:name="_Toc23829_WPSOffice_Level2"/>
      <w:bookmarkStart w:id="56" w:name="_Toc7879_WPSOffice_Level2"/>
      <w:bookmarkStart w:id="57" w:name="_Toc2158_WPSOffice_Level2"/>
      <w:bookmarkStart w:id="58" w:name="_Toc13516_WPSOffice_Level2"/>
      <w:r>
        <w:rPr>
          <w:rFonts w:hint="eastAsia" w:ascii="黑体" w:hAnsi="黑体" w:eastAsia="黑体" w:cs="黑体"/>
          <w:sz w:val="32"/>
          <w:szCs w:val="32"/>
        </w:rPr>
        <w:t>五、一般公共预算财政拨款收入支出决算</w:t>
      </w:r>
      <w:bookmarkEnd w:id="53"/>
      <w:bookmarkEnd w:id="54"/>
      <w:bookmarkEnd w:id="55"/>
      <w:bookmarkEnd w:id="56"/>
      <w:r>
        <w:rPr>
          <w:rFonts w:hint="eastAsia" w:ascii="黑体" w:hAnsi="黑体" w:eastAsia="黑体" w:cs="黑体"/>
          <w:sz w:val="32"/>
          <w:szCs w:val="32"/>
        </w:rPr>
        <w:t>公开表</w:t>
      </w:r>
    </w:p>
    <w:p w14:paraId="7EC280D7">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7"/>
      <w:bookmarkEnd w:id="58"/>
      <w:r>
        <w:rPr>
          <w:rFonts w:hint="eastAsia" w:ascii="黑体" w:hAnsi="黑体" w:eastAsia="黑体" w:cs="黑体"/>
          <w:sz w:val="32"/>
          <w:szCs w:val="32"/>
        </w:rPr>
        <w:t>。</w:t>
      </w:r>
    </w:p>
    <w:p w14:paraId="6F9AB376">
      <w:pPr>
        <w:ind w:firstLine="645"/>
        <w:rPr>
          <w:rFonts w:ascii="黑体" w:hAnsi="黑体" w:eastAsia="黑体" w:cs="黑体"/>
          <w:sz w:val="32"/>
          <w:szCs w:val="32"/>
        </w:rPr>
      </w:pPr>
      <w:bookmarkStart w:id="59" w:name="_Toc2632_WPSOffice_Level2"/>
      <w:bookmarkStart w:id="60" w:name="_Toc17833_WPSOffice_Level2"/>
      <w:bookmarkStart w:id="61" w:name="_Toc5343_WPSOffice_Level2"/>
      <w:bookmarkStart w:id="62" w:name="_Toc25362_WPSOffice_Level2"/>
      <w:bookmarkStart w:id="63" w:name="_Toc17283_WPSOffice_Level2"/>
      <w:bookmarkStart w:id="64" w:name="_Toc8373_WPSOffice_Level2"/>
      <w:r>
        <w:rPr>
          <w:rFonts w:hint="eastAsia" w:ascii="黑体" w:hAnsi="黑体" w:eastAsia="黑体" w:cs="黑体"/>
          <w:sz w:val="32"/>
          <w:szCs w:val="32"/>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rPr>
        <w:t>公开表</w:t>
      </w:r>
    </w:p>
    <w:p w14:paraId="5B3978F2">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14:paraId="45781634">
      <w:pPr>
        <w:ind w:left="1118" w:leftChars="304" w:hanging="480" w:hangingChars="150"/>
        <w:rPr>
          <w:rFonts w:ascii="黑体" w:hAnsi="黑体" w:eastAsia="黑体" w:cs="黑体"/>
          <w:sz w:val="32"/>
          <w:szCs w:val="32"/>
        </w:rPr>
      </w:pPr>
      <w:bookmarkStart w:id="65" w:name="_Toc13345_WPSOffice_Level2"/>
      <w:bookmarkStart w:id="66" w:name="_Toc21310_WPSOffice_Level2"/>
      <w:bookmarkStart w:id="67" w:name="_Toc11799_WPSOffice_Level2"/>
      <w:bookmarkStart w:id="68" w:name="_Toc5594_WPSOffice_Level2"/>
      <w:bookmarkStart w:id="69" w:name="_Toc1533_WPSOffice_Level2"/>
      <w:bookmarkStart w:id="70" w:name="_Toc6020_WPSOffice_Level2"/>
      <w:r>
        <w:rPr>
          <w:rFonts w:hint="eastAsia" w:ascii="黑体" w:hAnsi="黑体" w:eastAsia="黑体" w:cs="黑体"/>
          <w:sz w:val="32"/>
          <w:szCs w:val="32"/>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rPr>
        <w:t>公开表</w:t>
      </w:r>
    </w:p>
    <w:p w14:paraId="0CB1B720">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35590705">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51716516">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6767034A">
      <w:pPr>
        <w:rPr>
          <w:rFonts w:ascii="黑体" w:hAnsi="黑体" w:eastAsia="黑体" w:cs="黑体"/>
          <w:sz w:val="32"/>
          <w:szCs w:val="32"/>
        </w:rPr>
      </w:pPr>
      <w:bookmarkStart w:id="71" w:name="_Toc1820_WPSOffice_Level2"/>
      <w:bookmarkStart w:id="72" w:name="_Toc29886_WPSOffice_Level2"/>
      <w:bookmarkStart w:id="73" w:name="_Toc19961_WPSOffice_Level2"/>
      <w:bookmarkStart w:id="74" w:name="_Toc9377_WPSOffice_Level2"/>
      <w:r>
        <w:rPr>
          <w:rFonts w:hint="eastAsia" w:ascii="黑体" w:hAnsi="黑体" w:eastAsia="黑体" w:cs="黑体"/>
          <w:sz w:val="32"/>
          <w:szCs w:val="32"/>
        </w:rPr>
        <w:t xml:space="preserve">    九、一般公共预算财政拨款“三公”经费支出决算</w:t>
      </w:r>
    </w:p>
    <w:p w14:paraId="087F90C1">
      <w:pPr>
        <w:rPr>
          <w:rFonts w:ascii="黑体" w:hAnsi="黑体" w:eastAsia="黑体" w:cs="黑体"/>
          <w:sz w:val="32"/>
          <w:szCs w:val="32"/>
        </w:rPr>
      </w:pPr>
      <w:r>
        <w:rPr>
          <w:rFonts w:hint="eastAsia" w:ascii="黑体" w:hAnsi="黑体" w:eastAsia="黑体" w:cs="黑体"/>
          <w:sz w:val="32"/>
          <w:szCs w:val="32"/>
        </w:rPr>
        <w:t xml:space="preserve">         </w:t>
      </w:r>
      <w:bookmarkEnd w:id="71"/>
      <w:bookmarkEnd w:id="72"/>
      <w:bookmarkEnd w:id="73"/>
      <w:bookmarkEnd w:id="74"/>
      <w:r>
        <w:rPr>
          <w:rFonts w:hint="eastAsia" w:ascii="黑体" w:hAnsi="黑体" w:eastAsia="黑体" w:cs="黑体"/>
          <w:sz w:val="32"/>
          <w:szCs w:val="32"/>
        </w:rPr>
        <w:t>公开表（见正文附件）。</w:t>
      </w:r>
    </w:p>
    <w:p w14:paraId="75536427">
      <w:pPr>
        <w:rPr>
          <w:rFonts w:ascii="黑体" w:hAnsi="黑体" w:eastAsia="黑体" w:cs="黑体"/>
          <w:w w:val="96"/>
          <w:sz w:val="32"/>
          <w:szCs w:val="32"/>
        </w:rPr>
      </w:pPr>
      <w:r>
        <w:rPr>
          <w:rFonts w:hint="eastAsia" w:ascii="黑体" w:hAnsi="黑体" w:eastAsia="黑体" w:cs="黑体"/>
          <w:w w:val="96"/>
          <w:sz w:val="32"/>
          <w:szCs w:val="32"/>
        </w:rPr>
        <w:t xml:space="preserve">    十、政府性基金预算财政拨款“三公”经费支出决算</w:t>
      </w:r>
    </w:p>
    <w:p w14:paraId="498EDEB1">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14:paraId="6FD092D1">
      <w:pPr>
        <w:rPr>
          <w:rFonts w:ascii="黑体" w:hAnsi="黑体" w:eastAsia="黑体" w:cs="黑体"/>
          <w:w w:val="96"/>
          <w:sz w:val="32"/>
          <w:szCs w:val="32"/>
        </w:rPr>
      </w:pPr>
      <w:r>
        <w:rPr>
          <w:rFonts w:hint="eastAsia" w:ascii="黑体" w:hAnsi="黑体" w:eastAsia="黑体" w:cs="黑体"/>
          <w:w w:val="96"/>
          <w:sz w:val="32"/>
          <w:szCs w:val="32"/>
        </w:rPr>
        <w:t xml:space="preserve">    十一、国有资本经营预算财政拨款“三公”经费支出决算</w:t>
      </w:r>
    </w:p>
    <w:p w14:paraId="405E73BB">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14:paraId="02172026">
      <w:pPr>
        <w:rPr>
          <w:rFonts w:ascii="黑体" w:hAnsi="黑体" w:eastAsia="黑体" w:cs="黑体"/>
          <w:sz w:val="32"/>
          <w:szCs w:val="32"/>
        </w:rPr>
      </w:pPr>
    </w:p>
    <w:p w14:paraId="1B0DCC12">
      <w:pPr>
        <w:jc w:val="center"/>
        <w:rPr>
          <w:rFonts w:ascii="黑体" w:hAnsi="ˎ̥" w:eastAsia="黑体" w:cs="Times New Roman"/>
          <w:sz w:val="32"/>
          <w:szCs w:val="32"/>
        </w:rPr>
      </w:pPr>
      <w:bookmarkStart w:id="75" w:name="_Toc27590_WPSOffice_Level1"/>
      <w:bookmarkStart w:id="76" w:name="_Toc16686_WPSOffice_Level1"/>
      <w:bookmarkStart w:id="77" w:name="_Toc28629_WPSOffice_Level1"/>
      <w:bookmarkStart w:id="78" w:name="_Toc4402_WPSOffice_Level1"/>
      <w:bookmarkStart w:id="79" w:name="_Toc31264_WPSOffice_Level1"/>
      <w:bookmarkStart w:id="80" w:name="_Toc29683_WPSOffice_Level1"/>
      <w:r>
        <w:rPr>
          <w:rFonts w:hint="eastAsia" w:ascii="黑体" w:hAnsi="ˎ̥" w:eastAsia="黑体" w:cs="Times New Roman"/>
          <w:sz w:val="32"/>
          <w:szCs w:val="32"/>
        </w:rPr>
        <w:t>第三部分  三亚市</w:t>
      </w:r>
      <w:r>
        <w:rPr>
          <w:rFonts w:hint="eastAsia" w:ascii="黑体" w:hAnsi="ˎ̥" w:eastAsia="黑体" w:cs="Times New Roman"/>
          <w:sz w:val="32"/>
          <w:szCs w:val="32"/>
          <w:lang w:eastAsia="zh-CN"/>
        </w:rPr>
        <w:t>南岛学校2023</w:t>
      </w:r>
      <w:r>
        <w:rPr>
          <w:rFonts w:hint="eastAsia" w:ascii="黑体" w:hAnsi="ˎ̥" w:eastAsia="黑体" w:cs="Times New Roman"/>
          <w:sz w:val="32"/>
          <w:szCs w:val="32"/>
        </w:rPr>
        <w:t>年度</w:t>
      </w:r>
      <w:r>
        <w:rPr>
          <w:rFonts w:hint="eastAsia" w:ascii="黑体" w:hAnsi="ˎ̥" w:eastAsia="黑体" w:cs="Times New Roman"/>
          <w:sz w:val="32"/>
          <w:szCs w:val="32"/>
          <w:lang w:val="en-US" w:eastAsia="zh-CN"/>
        </w:rPr>
        <w:t>部门</w:t>
      </w:r>
      <w:r>
        <w:rPr>
          <w:rFonts w:hint="eastAsia" w:ascii="黑体" w:hAnsi="ˎ̥" w:eastAsia="黑体" w:cs="Times New Roman"/>
          <w:sz w:val="32"/>
          <w:szCs w:val="32"/>
        </w:rPr>
        <w:t>决算情况说明</w:t>
      </w:r>
      <w:bookmarkEnd w:id="75"/>
      <w:bookmarkEnd w:id="76"/>
      <w:bookmarkEnd w:id="77"/>
      <w:bookmarkEnd w:id="78"/>
      <w:bookmarkEnd w:id="79"/>
      <w:bookmarkEnd w:id="80"/>
    </w:p>
    <w:p w14:paraId="66127167">
      <w:pPr>
        <w:jc w:val="center"/>
        <w:rPr>
          <w:rFonts w:ascii="黑体" w:hAnsi="ˎ̥" w:eastAsia="黑体" w:cs="Times New Roman"/>
          <w:sz w:val="32"/>
          <w:szCs w:val="32"/>
        </w:rPr>
      </w:pPr>
    </w:p>
    <w:p w14:paraId="488B17A3">
      <w:pPr>
        <w:numPr>
          <w:ilvl w:val="0"/>
          <w:numId w:val="2"/>
        </w:numPr>
        <w:ind w:firstLine="640" w:firstLineChars="200"/>
        <w:rPr>
          <w:rFonts w:ascii="仿宋_GB2312" w:hAnsi="ˎ̥" w:eastAsia="仿宋_GB2312" w:cs="Times New Roman"/>
          <w:sz w:val="32"/>
          <w:szCs w:val="32"/>
        </w:rPr>
      </w:pPr>
      <w:r>
        <w:rPr>
          <w:rFonts w:hint="eastAsia" w:ascii="黑体" w:hAnsi="黑体" w:eastAsia="黑体" w:cs="黑体"/>
          <w:bCs/>
          <w:sz w:val="32"/>
          <w:szCs w:val="32"/>
          <w:highlight w:val="none"/>
        </w:rPr>
        <w:t>收入支出决算总体情况说明</w:t>
      </w:r>
      <w:r>
        <w:rPr>
          <w:rFonts w:hint="eastAsia" w:ascii="黑体" w:hAnsi="黑体" w:eastAsia="黑体" w:cs="黑体"/>
          <w:bCs/>
          <w:sz w:val="32"/>
          <w:szCs w:val="32"/>
          <w:highlight w:val="none"/>
        </w:rPr>
        <w:br w:type="textWrapping"/>
      </w:r>
      <w:r>
        <w:rPr>
          <w:rFonts w:hint="eastAsia" w:ascii="楷体_GB2312" w:hAnsi="ˎ̥" w:eastAsia="楷体_GB2312" w:cs="Times New Roman"/>
          <w:sz w:val="32"/>
          <w:szCs w:val="32"/>
          <w:highlight w:val="none"/>
        </w:rPr>
        <w:t xml:space="preserve">  </w:t>
      </w:r>
      <w:r>
        <w:rPr>
          <w:rFonts w:hint="eastAsia" w:ascii="仿宋_GB2312" w:hAnsi="ˎ̥" w:eastAsia="仿宋_GB2312"/>
          <w:sz w:val="32"/>
          <w:szCs w:val="32"/>
          <w:highlight w:val="none"/>
          <w:lang w:eastAsia="zh-CN"/>
        </w:rPr>
        <w:t>2023</w:t>
      </w:r>
      <w:r>
        <w:rPr>
          <w:rFonts w:hint="eastAsia" w:ascii="仿宋_GB2312" w:hAnsi="ˎ̥" w:eastAsia="仿宋_GB2312"/>
          <w:sz w:val="32"/>
          <w:szCs w:val="32"/>
          <w:highlight w:val="none"/>
        </w:rPr>
        <w:t>年度收入总计2,361.67万元，支出总计2,361.67万元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2022</w:t>
      </w:r>
      <w:r>
        <w:rPr>
          <w:rFonts w:hint="eastAsia" w:ascii="仿宋_GB2312" w:hAnsi="ˎ̥" w:eastAsia="仿宋_GB2312" w:cs="Times New Roman"/>
          <w:sz w:val="32"/>
          <w:szCs w:val="32"/>
          <w:highlight w:val="none"/>
        </w:rPr>
        <w:t>年度相比，收入总计增加</w:t>
      </w:r>
      <w:r>
        <w:rPr>
          <w:rFonts w:hint="eastAsia" w:ascii="仿宋_GB2312" w:hAnsi="ˎ̥" w:eastAsia="仿宋_GB2312" w:cs="Times New Roman"/>
          <w:sz w:val="32"/>
          <w:szCs w:val="32"/>
          <w:highlight w:val="none"/>
          <w:lang w:val="en-US" w:eastAsia="zh-CN"/>
        </w:rPr>
        <w:t>672.15</w:t>
      </w:r>
      <w:r>
        <w:rPr>
          <w:rFonts w:hint="eastAsia" w:ascii="仿宋_GB2312" w:hAnsi="ˎ̥" w:eastAsia="仿宋_GB2312" w:cs="Times New Roman"/>
          <w:sz w:val="32"/>
          <w:szCs w:val="32"/>
          <w:highlight w:val="none"/>
        </w:rPr>
        <w:t>万元，增长</w:t>
      </w:r>
      <w:r>
        <w:rPr>
          <w:rFonts w:hint="eastAsia" w:ascii="仿宋_GB2312" w:hAnsi="ˎ̥" w:eastAsia="仿宋_GB2312" w:cs="Times New Roman"/>
          <w:sz w:val="32"/>
          <w:szCs w:val="32"/>
          <w:highlight w:val="none"/>
          <w:lang w:val="en-US" w:eastAsia="zh-CN"/>
        </w:rPr>
        <w:t>28.46</w:t>
      </w:r>
      <w:r>
        <w:rPr>
          <w:rFonts w:hint="eastAsia" w:ascii="仿宋_GB2312" w:hAnsi="ˎ̥" w:eastAsia="仿宋_GB2312" w:cs="Times New Roman"/>
          <w:sz w:val="32"/>
          <w:szCs w:val="32"/>
          <w:highlight w:val="none"/>
        </w:rPr>
        <w:t>%、支出总计增加</w:t>
      </w:r>
      <w:r>
        <w:rPr>
          <w:rFonts w:hint="eastAsia" w:ascii="仿宋_GB2312" w:hAnsi="ˎ̥" w:eastAsia="仿宋_GB2312" w:cs="Times New Roman"/>
          <w:sz w:val="32"/>
          <w:szCs w:val="32"/>
          <w:highlight w:val="none"/>
          <w:lang w:val="en-US" w:eastAsia="zh-CN"/>
        </w:rPr>
        <w:t>672.15</w:t>
      </w:r>
      <w:r>
        <w:rPr>
          <w:rFonts w:hint="eastAsia" w:ascii="仿宋_GB2312" w:hAnsi="ˎ̥" w:eastAsia="仿宋_GB2312" w:cs="Times New Roman"/>
          <w:sz w:val="32"/>
          <w:szCs w:val="32"/>
          <w:highlight w:val="none"/>
        </w:rPr>
        <w:t>万元，增长</w:t>
      </w:r>
      <w:r>
        <w:rPr>
          <w:rFonts w:hint="eastAsia" w:ascii="仿宋_GB2312" w:hAnsi="ˎ̥" w:eastAsia="仿宋_GB2312" w:cs="Times New Roman"/>
          <w:sz w:val="32"/>
          <w:szCs w:val="32"/>
          <w:highlight w:val="none"/>
          <w:lang w:val="en-US" w:eastAsia="zh-CN"/>
        </w:rPr>
        <w:t>28.46</w:t>
      </w:r>
      <w:r>
        <w:rPr>
          <w:rFonts w:hint="eastAsia" w:ascii="仿宋_GB2312" w:hAnsi="ˎ̥" w:eastAsia="仿宋_GB2312" w:cs="Times New Roman"/>
          <w:sz w:val="32"/>
          <w:szCs w:val="32"/>
          <w:highlight w:val="none"/>
        </w:rPr>
        <w:t>%</w:t>
      </w:r>
      <w:r>
        <w:rPr>
          <w:rFonts w:hint="eastAsia" w:ascii="仿宋_GB2312" w:hAnsi="ˎ̥" w:eastAsia="仿宋_GB2312" w:cs="Times New Roman"/>
          <w:sz w:val="32"/>
          <w:szCs w:val="32"/>
          <w:highlight w:val="none"/>
          <w:lang w:eastAsia="zh-CN"/>
        </w:rPr>
        <w:t>，</w:t>
      </w:r>
      <w:r>
        <w:rPr>
          <w:rFonts w:hint="eastAsia" w:ascii="仿宋_GB2312" w:hAnsi="ˎ̥" w:eastAsia="仿宋_GB2312"/>
          <w:sz w:val="32"/>
          <w:szCs w:val="32"/>
        </w:rPr>
        <w:t>主要原因：</w:t>
      </w:r>
      <w:r>
        <w:rPr>
          <w:rFonts w:hint="eastAsia" w:ascii="仿宋_GB2312" w:hAnsi="ˎ̥" w:eastAsia="仿宋_GB2312"/>
          <w:sz w:val="32"/>
          <w:szCs w:val="32"/>
          <w:lang w:val="en-US" w:eastAsia="zh-CN"/>
        </w:rPr>
        <w:t>预算安排资金用于支付上年度未及时拨付的项目款项</w:t>
      </w:r>
      <w:r>
        <w:rPr>
          <w:rFonts w:hint="eastAsia" w:ascii="仿宋_GB2312" w:hAnsi="ˎ̥" w:eastAsia="仿宋_GB2312"/>
          <w:sz w:val="32"/>
          <w:szCs w:val="32"/>
        </w:rPr>
        <w:t>。</w:t>
      </w:r>
      <w:r>
        <w:rPr>
          <w:rFonts w:hint="eastAsia" w:ascii="仿宋_GB2312" w:hAnsi="ˎ̥" w:eastAsia="仿宋_GB2312" w:cs="Times New Roman"/>
          <w:sz w:val="32"/>
          <w:szCs w:val="32"/>
        </w:rPr>
        <w:t>使用非财政拨款结余0万元，</w:t>
      </w:r>
      <w:r>
        <w:rPr>
          <w:rFonts w:hint="eastAsia" w:ascii="仿宋_GB2312" w:hAnsi="ˎ̥" w:eastAsia="仿宋_GB2312"/>
          <w:sz w:val="32"/>
          <w:szCs w:val="32"/>
        </w:rPr>
        <w:t>较</w:t>
      </w:r>
      <w:r>
        <w:rPr>
          <w:rFonts w:hint="eastAsia" w:ascii="仿宋_GB2312" w:hAnsi="ˎ̥" w:eastAsia="仿宋_GB2312"/>
          <w:sz w:val="32"/>
          <w:szCs w:val="32"/>
          <w:lang w:eastAsia="zh-CN"/>
        </w:rPr>
        <w:t>2022</w:t>
      </w:r>
      <w:r>
        <w:rPr>
          <w:rFonts w:hint="eastAsia" w:ascii="仿宋_GB2312" w:hAnsi="ˎ̥" w:eastAsia="仿宋_GB2312"/>
          <w:sz w:val="32"/>
          <w:szCs w:val="32"/>
        </w:rPr>
        <w:t>年度决算数增加0万元，主要原因是无使用非财政拨款结余</w:t>
      </w:r>
      <w:r>
        <w:rPr>
          <w:rFonts w:hint="eastAsia" w:ascii="仿宋_GB2312" w:hAnsi="ˎ̥" w:eastAsia="仿宋_GB2312" w:cs="Times New Roman"/>
          <w:sz w:val="32"/>
          <w:szCs w:val="32"/>
        </w:rPr>
        <w:t>。年初结转结余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万元，主要是财政拨款结转，较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年度决算数增加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万元，增加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sz w:val="32"/>
          <w:szCs w:val="32"/>
        </w:rPr>
        <w:t>主要是上年办公经费结余，工资福利支出结余</w:t>
      </w:r>
      <w:r>
        <w:rPr>
          <w:rFonts w:hint="eastAsia" w:ascii="仿宋_GB2312" w:hAnsi="ˎ̥" w:eastAsia="仿宋_GB2312" w:cs="Times New Roman"/>
          <w:sz w:val="32"/>
          <w:szCs w:val="32"/>
        </w:rPr>
        <w:t>。</w:t>
      </w:r>
      <w:r>
        <w:rPr>
          <w:rFonts w:hint="eastAsia" w:ascii="仿宋_GB2312" w:hAnsi="ˎ̥" w:eastAsia="仿宋_GB2312"/>
          <w:sz w:val="32"/>
          <w:szCs w:val="32"/>
        </w:rPr>
        <w:t>结余分配0万元，较</w:t>
      </w:r>
      <w:r>
        <w:rPr>
          <w:rFonts w:hint="eastAsia" w:ascii="仿宋_GB2312" w:hAnsi="ˎ̥" w:eastAsia="仿宋_GB2312"/>
          <w:sz w:val="32"/>
          <w:szCs w:val="32"/>
          <w:lang w:eastAsia="zh-CN"/>
        </w:rPr>
        <w:t>2022</w:t>
      </w:r>
      <w:r>
        <w:rPr>
          <w:rFonts w:hint="eastAsia" w:ascii="仿宋_GB2312" w:hAnsi="ˎ̥" w:eastAsia="仿宋_GB2312"/>
          <w:sz w:val="32"/>
          <w:szCs w:val="32"/>
        </w:rPr>
        <w:t>年度决算数0万元，增长持平，主要原因是无结余分配。</w:t>
      </w:r>
      <w:r>
        <w:rPr>
          <w:rFonts w:hint="eastAsia" w:ascii="仿宋_GB2312" w:hAnsi="ˎ̥" w:eastAsia="仿宋_GB2312" w:cs="Times New Roman"/>
          <w:sz w:val="32"/>
          <w:szCs w:val="32"/>
        </w:rPr>
        <w:t>年末结转结余0万元，主要是财政拨款结转，较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年度决算数减少</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万元，下降</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eastAsia" w:ascii="仿宋_GB2312" w:hAnsi="ˎ̥" w:eastAsia="仿宋_GB2312"/>
          <w:sz w:val="32"/>
          <w:szCs w:val="32"/>
        </w:rPr>
        <w:t>主要原因是年初预算少，使用结转结余经费。</w:t>
      </w:r>
    </w:p>
    <w:p w14:paraId="1BC3F7DD">
      <w:pPr>
        <w:ind w:firstLine="640" w:firstLineChars="200"/>
        <w:rPr>
          <w:rFonts w:ascii="仿宋_GB2312" w:hAnsi="ˎ̥" w:eastAsia="仿宋_GB2312" w:cs="Times New Roman"/>
          <w:sz w:val="32"/>
          <w:szCs w:val="32"/>
          <w:highlight w:val="none"/>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cs="Times New Roman"/>
          <w:sz w:val="32"/>
          <w:szCs w:val="32"/>
        </w:rPr>
        <w:t xml:space="preserve">    </w:t>
      </w:r>
      <w:r>
        <w:rPr>
          <w:rFonts w:hint="eastAsia" w:ascii="仿宋_GB2312" w:hAnsi="ˎ̥" w:eastAsia="仿宋_GB2312" w:cs="Times New Roman"/>
          <w:sz w:val="32"/>
          <w:szCs w:val="32"/>
          <w:highlight w:val="none"/>
        </w:rPr>
        <w:t>本年收入合计</w:t>
      </w:r>
      <w:r>
        <w:rPr>
          <w:rFonts w:hint="eastAsia" w:ascii="仿宋_GB2312" w:hAnsi="ˎ̥" w:eastAsia="仿宋_GB2312" w:cs="Times New Roman"/>
          <w:sz w:val="32"/>
          <w:szCs w:val="32"/>
          <w:highlight w:val="none"/>
          <w:lang w:val="en-US" w:eastAsia="zh-CN"/>
        </w:rPr>
        <w:t>2,190.39</w:t>
      </w:r>
      <w:r>
        <w:rPr>
          <w:rFonts w:hint="eastAsia" w:ascii="仿宋_GB2312" w:hAnsi="ˎ̥" w:eastAsia="仿宋_GB2312" w:cs="Times New Roman"/>
          <w:sz w:val="32"/>
          <w:szCs w:val="32"/>
          <w:highlight w:val="none"/>
        </w:rPr>
        <w:t>万元，其中：财政拨款收入</w:t>
      </w:r>
      <w:r>
        <w:rPr>
          <w:rFonts w:hint="eastAsia" w:ascii="仿宋_GB2312" w:hAnsi="ˎ̥" w:eastAsia="仿宋_GB2312" w:cs="Times New Roman"/>
          <w:sz w:val="32"/>
          <w:szCs w:val="32"/>
          <w:highlight w:val="none"/>
          <w:lang w:val="en-US" w:eastAsia="zh-CN"/>
        </w:rPr>
        <w:t>2,023.06</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92.36</w:t>
      </w:r>
      <w:r>
        <w:rPr>
          <w:rFonts w:hint="eastAsia" w:ascii="仿宋_GB2312" w:hAnsi="ˎ̥" w:eastAsia="仿宋_GB2312" w:cs="Times New Roman"/>
          <w:sz w:val="32"/>
          <w:szCs w:val="32"/>
          <w:highlight w:val="none"/>
        </w:rPr>
        <w:t>%；其他收入</w:t>
      </w:r>
      <w:r>
        <w:rPr>
          <w:rFonts w:hint="eastAsia" w:ascii="仿宋_GB2312" w:hAnsi="ˎ̥" w:eastAsia="仿宋_GB2312" w:cs="Times New Roman"/>
          <w:sz w:val="32"/>
          <w:szCs w:val="32"/>
          <w:highlight w:val="none"/>
          <w:lang w:val="en-US" w:eastAsia="zh-CN"/>
        </w:rPr>
        <w:t>167.33</w:t>
      </w:r>
      <w:r>
        <w:rPr>
          <w:rFonts w:hint="eastAsia" w:ascii="仿宋_GB2312" w:hAnsi="ˎ̥" w:eastAsia="仿宋_GB2312" w:cs="Times New Roman"/>
          <w:sz w:val="32"/>
          <w:szCs w:val="32"/>
          <w:highlight w:val="none"/>
        </w:rPr>
        <w:t>万元，占</w:t>
      </w:r>
      <w:r>
        <w:rPr>
          <w:rFonts w:hint="eastAsia" w:ascii="仿宋_GB2312" w:hAnsi="ˎ̥" w:eastAsia="仿宋_GB2312" w:cs="Times New Roman"/>
          <w:sz w:val="32"/>
          <w:szCs w:val="32"/>
          <w:highlight w:val="none"/>
          <w:lang w:val="en-US" w:eastAsia="zh-CN"/>
        </w:rPr>
        <w:t xml:space="preserve">7.63 </w:t>
      </w:r>
      <w:r>
        <w:rPr>
          <w:rFonts w:hint="eastAsia" w:ascii="仿宋_GB2312" w:hAnsi="ˎ̥" w:eastAsia="仿宋_GB2312" w:cs="Times New Roman"/>
          <w:sz w:val="32"/>
          <w:szCs w:val="32"/>
          <w:highlight w:val="none"/>
        </w:rPr>
        <w:t>%。</w:t>
      </w:r>
    </w:p>
    <w:p w14:paraId="0537CF49">
      <w:pPr>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14:paraId="0A882A3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本年支出合计</w:t>
      </w:r>
      <w:r>
        <w:rPr>
          <w:rFonts w:hint="eastAsia" w:ascii="仿宋_GB2312" w:hAnsi="ˎ̥" w:eastAsia="仿宋_GB2312" w:cs="Times New Roman"/>
          <w:sz w:val="32"/>
          <w:szCs w:val="32"/>
          <w:lang w:val="en-US" w:eastAsia="zh-CN"/>
        </w:rPr>
        <w:t>2,190.39</w:t>
      </w:r>
      <w:r>
        <w:rPr>
          <w:rFonts w:hint="eastAsia" w:ascii="仿宋_GB2312" w:hAnsi="ˎ̥" w:eastAsia="仿宋_GB2312" w:cs="Times New Roman"/>
          <w:sz w:val="32"/>
          <w:szCs w:val="32"/>
        </w:rPr>
        <w:t>万元，</w:t>
      </w:r>
      <w:r>
        <w:rPr>
          <w:rFonts w:hint="eastAsia" w:ascii="仿宋_GB2312" w:hAnsi="ˎ̥" w:eastAsia="仿宋_GB2312"/>
          <w:sz w:val="32"/>
          <w:szCs w:val="32"/>
          <w:highlight w:val="none"/>
        </w:rPr>
        <w:t>其中：基本支出</w:t>
      </w:r>
      <w:r>
        <w:rPr>
          <w:rFonts w:hint="eastAsia" w:ascii="仿宋_GB2312" w:hAnsi="ˎ̥" w:eastAsia="仿宋_GB2312"/>
          <w:sz w:val="32"/>
          <w:szCs w:val="32"/>
          <w:highlight w:val="none"/>
          <w:lang w:val="en-US" w:eastAsia="zh-CN"/>
        </w:rPr>
        <w:t>1,807.12</w:t>
      </w:r>
      <w:r>
        <w:rPr>
          <w:rFonts w:hint="eastAsia" w:ascii="仿宋_GB2312" w:hAnsi="ˎ̥" w:eastAsia="仿宋_GB2312"/>
          <w:sz w:val="32"/>
          <w:szCs w:val="32"/>
          <w:highlight w:val="none"/>
        </w:rPr>
        <w:t>万元，占</w:t>
      </w:r>
      <w:r>
        <w:rPr>
          <w:rFonts w:hint="eastAsia" w:ascii="仿宋_GB2312" w:hAnsi="ˎ̥" w:eastAsia="仿宋_GB2312"/>
          <w:sz w:val="32"/>
          <w:szCs w:val="32"/>
          <w:highlight w:val="none"/>
          <w:lang w:val="en-US" w:eastAsia="zh-CN"/>
        </w:rPr>
        <w:t>82.50</w:t>
      </w:r>
      <w:r>
        <w:rPr>
          <w:rFonts w:hint="eastAsia" w:ascii="仿宋_GB2312" w:hAnsi="ˎ̥" w:eastAsia="仿宋_GB2312"/>
          <w:sz w:val="32"/>
          <w:szCs w:val="32"/>
          <w:highlight w:val="none"/>
        </w:rPr>
        <w:t>%；项目支出383.27万元，占</w:t>
      </w:r>
      <w:r>
        <w:rPr>
          <w:rFonts w:hint="eastAsia" w:ascii="仿宋_GB2312" w:hAnsi="ˎ̥" w:eastAsia="仿宋_GB2312"/>
          <w:sz w:val="32"/>
          <w:szCs w:val="32"/>
          <w:highlight w:val="none"/>
          <w:lang w:val="en-US" w:eastAsia="zh-CN"/>
        </w:rPr>
        <w:t>17.49</w:t>
      </w:r>
      <w:r>
        <w:rPr>
          <w:rFonts w:hint="eastAsia" w:ascii="仿宋_GB2312" w:hAnsi="ˎ̥" w:eastAsia="仿宋_GB2312"/>
          <w:sz w:val="32"/>
          <w:szCs w:val="32"/>
          <w:highlight w:val="none"/>
        </w:rPr>
        <w:t>%；上缴上级支出0万元，占0%；经营支出0万元，占0%；对附属单位补助支出0万元，占0%。”</w:t>
      </w:r>
    </w:p>
    <w:p w14:paraId="1C33F60D">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5E44CCFA">
      <w:pPr>
        <w:ind w:firstLine="640" w:firstLineChars="200"/>
        <w:rPr>
          <w:rFonts w:ascii="仿宋_GB2312" w:hAnsi="ˎ̥" w:eastAsia="仿宋_GB2312" w:cs="Times New Roman"/>
          <w:sz w:val="32"/>
          <w:szCs w:val="32"/>
          <w:highlight w:val="none"/>
        </w:rPr>
      </w:pPr>
      <w:r>
        <w:rPr>
          <w:rFonts w:hint="eastAsia" w:ascii="仿宋_GB2312" w:hAnsi="ˎ̥" w:eastAsia="仿宋_GB2312"/>
          <w:sz w:val="32"/>
          <w:szCs w:val="32"/>
          <w:highlight w:val="none"/>
          <w:lang w:eastAsia="zh-CN"/>
        </w:rPr>
        <w:t>2023</w:t>
      </w:r>
      <w:r>
        <w:rPr>
          <w:rFonts w:hint="eastAsia" w:ascii="仿宋_GB2312" w:hAnsi="ˎ̥" w:eastAsia="仿宋_GB2312"/>
          <w:sz w:val="32"/>
          <w:szCs w:val="32"/>
          <w:highlight w:val="none"/>
        </w:rPr>
        <w:t>年度财政拨款收入总计2,194.34万元，支出总计2,194.34万元</w:t>
      </w:r>
      <w:r>
        <w:rPr>
          <w:rFonts w:hint="eastAsia" w:ascii="仿宋_GB2312" w:hAnsi="ˎ̥" w:eastAsia="仿宋_GB2312" w:cs="Times New Roman"/>
          <w:sz w:val="32"/>
          <w:szCs w:val="32"/>
          <w:highlight w:val="none"/>
        </w:rPr>
        <w:t>。与</w:t>
      </w:r>
      <w:r>
        <w:rPr>
          <w:rFonts w:hint="eastAsia" w:ascii="仿宋_GB2312" w:hAnsi="ˎ̥" w:eastAsia="仿宋_GB2312" w:cs="Times New Roman"/>
          <w:sz w:val="32"/>
          <w:szCs w:val="32"/>
          <w:highlight w:val="none"/>
          <w:lang w:eastAsia="zh-CN"/>
        </w:rPr>
        <w:t>2022</w:t>
      </w:r>
      <w:r>
        <w:rPr>
          <w:rFonts w:hint="eastAsia" w:ascii="仿宋_GB2312" w:hAnsi="ˎ̥" w:eastAsia="仿宋_GB2312" w:cs="Times New Roman"/>
          <w:sz w:val="32"/>
          <w:szCs w:val="32"/>
          <w:highlight w:val="none"/>
        </w:rPr>
        <w:t>年度相比，财政拨款收入总计增加</w:t>
      </w:r>
      <w:r>
        <w:rPr>
          <w:rFonts w:hint="eastAsia" w:ascii="仿宋_GB2312" w:hAnsi="ˎ̥" w:eastAsia="仿宋_GB2312" w:cs="Times New Roman"/>
          <w:sz w:val="32"/>
          <w:szCs w:val="32"/>
          <w:highlight w:val="none"/>
          <w:lang w:val="en-US" w:eastAsia="zh-CN"/>
        </w:rPr>
        <w:t>504.82</w:t>
      </w:r>
      <w:r>
        <w:rPr>
          <w:rFonts w:hint="eastAsia" w:ascii="仿宋_GB2312" w:hAnsi="ˎ̥" w:eastAsia="仿宋_GB2312" w:cs="Times New Roman"/>
          <w:sz w:val="32"/>
          <w:szCs w:val="32"/>
          <w:highlight w:val="none"/>
        </w:rPr>
        <w:t>万元，增长</w:t>
      </w:r>
      <w:r>
        <w:rPr>
          <w:rFonts w:hint="eastAsia" w:ascii="仿宋_GB2312" w:hAnsi="ˎ̥" w:eastAsia="仿宋_GB2312" w:cs="Times New Roman"/>
          <w:sz w:val="32"/>
          <w:szCs w:val="32"/>
          <w:highlight w:val="none"/>
          <w:lang w:val="en-US" w:eastAsia="zh-CN"/>
        </w:rPr>
        <w:t>23.00</w:t>
      </w:r>
      <w:r>
        <w:rPr>
          <w:rFonts w:hint="eastAsia" w:ascii="仿宋_GB2312" w:hAnsi="ˎ̥" w:eastAsia="仿宋_GB2312" w:cs="Times New Roman"/>
          <w:sz w:val="32"/>
          <w:szCs w:val="32"/>
          <w:highlight w:val="none"/>
        </w:rPr>
        <w:t>%。支出总计增加</w:t>
      </w:r>
      <w:r>
        <w:rPr>
          <w:rFonts w:hint="eastAsia" w:ascii="仿宋_GB2312" w:hAnsi="ˎ̥" w:eastAsia="仿宋_GB2312"/>
          <w:sz w:val="32"/>
          <w:szCs w:val="32"/>
          <w:highlight w:val="none"/>
        </w:rPr>
        <w:t>2,194.34</w:t>
      </w:r>
      <w:r>
        <w:rPr>
          <w:rFonts w:hint="eastAsia" w:ascii="仿宋_GB2312" w:hAnsi="ˎ̥" w:eastAsia="仿宋_GB2312" w:cs="Times New Roman"/>
          <w:sz w:val="32"/>
          <w:szCs w:val="32"/>
          <w:highlight w:val="none"/>
        </w:rPr>
        <w:t>万元，增加</w:t>
      </w:r>
      <w:r>
        <w:rPr>
          <w:rFonts w:hint="eastAsia" w:ascii="仿宋_GB2312" w:hAnsi="ˎ̥" w:eastAsia="仿宋_GB2312" w:cs="Times New Roman"/>
          <w:sz w:val="32"/>
          <w:szCs w:val="32"/>
          <w:highlight w:val="none"/>
          <w:lang w:val="en-US" w:eastAsia="zh-CN"/>
        </w:rPr>
        <w:t>23.00</w:t>
      </w:r>
      <w:r>
        <w:rPr>
          <w:rFonts w:hint="eastAsia" w:ascii="仿宋_GB2312" w:hAnsi="ˎ̥" w:eastAsia="仿宋_GB2312" w:cs="Times New Roman"/>
          <w:sz w:val="32"/>
          <w:szCs w:val="32"/>
          <w:highlight w:val="none"/>
        </w:rPr>
        <w:t>%</w:t>
      </w:r>
    </w:p>
    <w:p w14:paraId="2A89C902">
      <w:pPr>
        <w:ind w:firstLine="640" w:firstLineChars="200"/>
        <w:rPr>
          <w:rFonts w:hint="eastAsia" w:ascii="仿宋_GB2312" w:hAnsi="ˎ̥" w:eastAsia="仿宋_GB2312" w:cs="Times New Roman"/>
          <w:sz w:val="32"/>
          <w:szCs w:val="32"/>
          <w:lang w:eastAsia="zh-CN"/>
        </w:rPr>
      </w:pPr>
      <w:r>
        <w:rPr>
          <w:rFonts w:hint="eastAsia" w:ascii="仿宋_GB2312" w:hAnsi="ˎ̥" w:eastAsia="仿宋_GB2312" w:cs="Times New Roman"/>
          <w:sz w:val="32"/>
          <w:szCs w:val="32"/>
        </w:rPr>
        <w:t>财政拨款年初结转结余</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万元，主要是教育支出，较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年度决算数增加</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万元，增长</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sz w:val="32"/>
          <w:szCs w:val="32"/>
          <w:lang w:eastAsia="zh-CN"/>
        </w:rPr>
        <w:t>。</w:t>
      </w:r>
    </w:p>
    <w:p w14:paraId="2628FB84">
      <w:pPr>
        <w:numPr>
          <w:ilvl w:val="0"/>
          <w:numId w:val="2"/>
        </w:numPr>
        <w:shd w:val="clear"/>
        <w:ind w:firstLine="640" w:firstLineChars="200"/>
        <w:rPr>
          <w:rFonts w:ascii="仿宋_GB2312" w:hAnsi="ˎ̥" w:eastAsia="仿宋_GB2312" w:cs="Times New Roman"/>
          <w:sz w:val="32"/>
          <w:szCs w:val="32"/>
          <w:highlight w:val="yellow"/>
        </w:rPr>
      </w:pPr>
      <w:r>
        <w:rPr>
          <w:rFonts w:hint="eastAsia" w:ascii="仿宋_GB2312" w:hAnsi="ˎ̥" w:eastAsia="仿宋_GB2312" w:cs="Times New Roman"/>
          <w:sz w:val="32"/>
          <w:szCs w:val="32"/>
        </w:rPr>
        <w:t>财政拨款年末结转结余0万元，主要</w:t>
      </w:r>
      <w:r>
        <w:rPr>
          <w:rFonts w:hint="eastAsia" w:ascii="仿宋_GB2312" w:hAnsi="ˎ̥" w:eastAsia="仿宋_GB2312" w:cs="Times New Roman"/>
          <w:color w:val="000000" w:themeColor="text1"/>
          <w:sz w:val="32"/>
          <w:szCs w:val="32"/>
          <w14:textFill>
            <w14:solidFill>
              <w14:schemeClr w14:val="tx1"/>
            </w14:solidFill>
          </w14:textFill>
        </w:rPr>
        <w:t>是项目支出</w:t>
      </w:r>
      <w:r>
        <w:rPr>
          <w:rFonts w:hint="eastAsia" w:ascii="仿宋_GB2312" w:hAnsi="ˎ̥" w:eastAsia="仿宋_GB2312" w:cs="Times New Roman"/>
          <w:sz w:val="32"/>
          <w:szCs w:val="32"/>
        </w:rPr>
        <w:t>，较</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年度年末决算数减少</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万元，减少</w:t>
      </w:r>
      <w:r>
        <w:rPr>
          <w:rFonts w:hint="eastAsia" w:ascii="仿宋_GB2312" w:hAnsi="ˎ̥" w:eastAsia="仿宋_GB2312" w:cs="Times New Roman"/>
          <w:sz w:val="32"/>
          <w:szCs w:val="32"/>
          <w:lang w:val="en-US" w:eastAsia="zh-CN"/>
        </w:rPr>
        <w:t>0</w:t>
      </w:r>
      <w:r>
        <w:rPr>
          <w:rFonts w:hint="eastAsia" w:ascii="仿宋_GB2312" w:hAnsi="ˎ̥" w:eastAsia="仿宋_GB2312" w:cs="Times New Roman"/>
          <w:sz w:val="32"/>
          <w:szCs w:val="32"/>
        </w:rPr>
        <w:t>%</w:t>
      </w:r>
      <w:r>
        <w:rPr>
          <w:rFonts w:hint="eastAsia" w:ascii="仿宋_GB2312" w:hAnsi="ˎ̥" w:eastAsia="仿宋_GB2312"/>
          <w:sz w:val="32"/>
          <w:szCs w:val="32"/>
          <w:highlight w:val="none"/>
        </w:rPr>
        <w:t>，</w:t>
      </w:r>
      <w:r>
        <w:rPr>
          <w:rFonts w:hint="eastAsia" w:ascii="仿宋_GB2312" w:hAnsi="ˎ̥" w:eastAsia="仿宋_GB2312"/>
          <w:sz w:val="32"/>
          <w:szCs w:val="32"/>
        </w:rPr>
        <w:t>主要原因是年初预算少，使用结转结余经费。</w:t>
      </w:r>
    </w:p>
    <w:p w14:paraId="6DCA3962">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1E0D944E">
      <w:pPr>
        <w:ind w:firstLine="640" w:firstLineChars="200"/>
        <w:rPr>
          <w:rFonts w:ascii="楷体" w:hAnsi="楷体" w:eastAsia="楷体" w:cs="楷体"/>
          <w:sz w:val="32"/>
          <w:szCs w:val="32"/>
        </w:rPr>
      </w:pPr>
      <w:bookmarkStart w:id="81" w:name="_Toc17398_WPSOffice_Level2"/>
      <w:bookmarkStart w:id="82" w:name="_Toc13694_WPSOffice_Level2"/>
      <w:bookmarkStart w:id="83" w:name="_Toc23005_WPSOffice_Level2"/>
      <w:bookmarkStart w:id="84" w:name="_Toc9989_WPSOffice_Level2"/>
      <w:bookmarkStart w:id="85" w:name="_Toc19665_WPSOffice_Level2"/>
      <w:bookmarkStart w:id="86" w:name="_Toc21737_WPSOffice_Level2"/>
      <w:r>
        <w:rPr>
          <w:rFonts w:hint="eastAsia" w:ascii="楷体" w:hAnsi="楷体" w:eastAsia="楷体" w:cs="楷体"/>
          <w:sz w:val="32"/>
          <w:szCs w:val="32"/>
        </w:rPr>
        <w:t>（一）一般公共预算财政拨款支出决算总体情况</w:t>
      </w:r>
      <w:bookmarkEnd w:id="81"/>
      <w:bookmarkEnd w:id="82"/>
      <w:r>
        <w:rPr>
          <w:rFonts w:hint="eastAsia" w:ascii="楷体" w:hAnsi="楷体" w:eastAsia="楷体" w:cs="楷体"/>
          <w:sz w:val="32"/>
          <w:szCs w:val="32"/>
        </w:rPr>
        <w:t>。</w:t>
      </w:r>
      <w:bookmarkEnd w:id="83"/>
      <w:bookmarkEnd w:id="84"/>
      <w:bookmarkEnd w:id="85"/>
      <w:bookmarkEnd w:id="86"/>
    </w:p>
    <w:p w14:paraId="37B7B836">
      <w:pPr>
        <w:ind w:firstLine="640" w:firstLineChars="200"/>
        <w:rPr>
          <w:rFonts w:hint="eastAsia" w:ascii="仿宋_GB2312" w:hAnsi="ˎ̥" w:eastAsia="仿宋_GB2312"/>
          <w:sz w:val="32"/>
          <w:szCs w:val="32"/>
          <w:lang w:eastAsia="zh-CN"/>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年度一般公共预算财政拨款支出2,023.06万元，占本年支出合计的100%。与</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年度相比，一般公共预算财政拨款支出</w:t>
      </w:r>
      <w:bookmarkStart w:id="87" w:name="_Toc2711_WPSOffice_Level2"/>
      <w:bookmarkStart w:id="88" w:name="_Toc18793_WPSOffice_Level2"/>
      <w:bookmarkStart w:id="89" w:name="_Toc19075_WPSOffice_Level2"/>
      <w:bookmarkStart w:id="90" w:name="_Toc19535_WPSOffice_Level2"/>
      <w:bookmarkStart w:id="91" w:name="_Toc23864_WPSOffice_Level2"/>
      <w:bookmarkStart w:id="92" w:name="_Toc27767_WPSOffice_Level2"/>
      <w:r>
        <w:rPr>
          <w:rFonts w:hint="eastAsia" w:ascii="仿宋_GB2312" w:hAnsi="ˎ̥" w:eastAsia="仿宋_GB2312" w:cs="Times New Roman"/>
          <w:sz w:val="32"/>
          <w:szCs w:val="32"/>
        </w:rPr>
        <w:t>增加</w:t>
      </w:r>
      <w:r>
        <w:rPr>
          <w:rFonts w:hint="eastAsia" w:ascii="仿宋_GB2312" w:hAnsi="ˎ̥" w:eastAsia="仿宋_GB2312" w:cs="Times New Roman"/>
          <w:sz w:val="32"/>
          <w:szCs w:val="32"/>
          <w:lang w:val="en-US" w:eastAsia="zh-CN"/>
        </w:rPr>
        <w:t>333.54</w:t>
      </w:r>
      <w:r>
        <w:rPr>
          <w:rFonts w:hint="eastAsia" w:ascii="仿宋_GB2312" w:hAnsi="ˎ̥" w:eastAsia="仿宋_GB2312" w:cs="Times New Roman"/>
          <w:sz w:val="32"/>
          <w:szCs w:val="32"/>
        </w:rPr>
        <w:t>万元，增加</w:t>
      </w:r>
      <w:r>
        <w:rPr>
          <w:rFonts w:hint="eastAsia" w:ascii="仿宋_GB2312" w:hAnsi="ˎ̥" w:eastAsia="仿宋_GB2312" w:cs="Times New Roman"/>
          <w:sz w:val="32"/>
          <w:szCs w:val="32"/>
          <w:lang w:val="en-US" w:eastAsia="zh-CN"/>
        </w:rPr>
        <w:t>16.49</w:t>
      </w:r>
      <w:r>
        <w:rPr>
          <w:rFonts w:hint="eastAsia" w:ascii="仿宋_GB2312" w:hAnsi="ˎ̥" w:eastAsia="仿宋_GB2312" w:cs="Times New Roman"/>
          <w:sz w:val="32"/>
          <w:szCs w:val="32"/>
        </w:rPr>
        <w:t>%</w:t>
      </w:r>
      <w:r>
        <w:rPr>
          <w:rFonts w:hint="eastAsia" w:ascii="仿宋_GB2312" w:hAnsi="ˎ̥" w:eastAsia="仿宋_GB2312" w:cs="Times New Roman"/>
          <w:sz w:val="32"/>
          <w:szCs w:val="32"/>
          <w:lang w:eastAsia="zh-CN"/>
        </w:rPr>
        <w:t>，</w:t>
      </w:r>
      <w:r>
        <w:rPr>
          <w:rFonts w:hint="eastAsia" w:ascii="仿宋_GB2312" w:hAnsi="ˎ̥" w:eastAsia="仿宋_GB2312"/>
          <w:sz w:val="32"/>
          <w:szCs w:val="32"/>
          <w:lang w:val="en-US" w:eastAsia="zh-CN"/>
        </w:rPr>
        <w:t>主要原因是预算安排资金用于支付上年度未及时拨付的项目款项</w:t>
      </w:r>
      <w:r>
        <w:rPr>
          <w:rFonts w:hint="eastAsia" w:ascii="仿宋_GB2312" w:hAnsi="ˎ̥" w:eastAsia="仿宋_GB2312"/>
          <w:sz w:val="32"/>
          <w:szCs w:val="32"/>
          <w:lang w:eastAsia="zh-CN"/>
        </w:rPr>
        <w:t>。</w:t>
      </w:r>
    </w:p>
    <w:p w14:paraId="2067B629">
      <w:pPr>
        <w:ind w:firstLine="640" w:firstLineChars="200"/>
        <w:rPr>
          <w:rFonts w:ascii="楷体" w:hAnsi="楷体" w:eastAsia="楷体" w:cs="楷体"/>
          <w:sz w:val="32"/>
          <w:szCs w:val="32"/>
        </w:rPr>
      </w:pPr>
      <w:r>
        <w:rPr>
          <w:rFonts w:hint="eastAsia" w:ascii="楷体" w:hAnsi="楷体" w:eastAsia="楷体" w:cs="楷体"/>
          <w:sz w:val="32"/>
          <w:szCs w:val="32"/>
        </w:rPr>
        <w:t>（二）一般公共预算财政拨款支出决算结构情况</w:t>
      </w:r>
      <w:bookmarkEnd w:id="87"/>
      <w:bookmarkEnd w:id="88"/>
      <w:r>
        <w:rPr>
          <w:rFonts w:hint="eastAsia" w:ascii="楷体" w:hAnsi="楷体" w:eastAsia="楷体" w:cs="楷体"/>
          <w:sz w:val="32"/>
          <w:szCs w:val="32"/>
        </w:rPr>
        <w:t>。</w:t>
      </w:r>
      <w:bookmarkEnd w:id="89"/>
      <w:bookmarkEnd w:id="90"/>
      <w:bookmarkEnd w:id="91"/>
      <w:bookmarkEnd w:id="92"/>
    </w:p>
    <w:p w14:paraId="3B5EE07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年度一般公共预算财政拨款支出2,023.06万元，主要用于以下方面：</w:t>
      </w:r>
      <w:r>
        <w:rPr>
          <w:rFonts w:hint="eastAsia" w:ascii="仿宋_GB2312" w:hAnsi="ˎ̥" w:eastAsia="仿宋_GB2312" w:cs="Times New Roman"/>
          <w:b/>
          <w:sz w:val="32"/>
          <w:szCs w:val="32"/>
        </w:rPr>
        <w:t>教育（类）</w:t>
      </w:r>
      <w:r>
        <w:rPr>
          <w:rFonts w:hint="eastAsia" w:ascii="仿宋_GB2312" w:hAnsi="ˎ̥" w:eastAsia="仿宋_GB2312" w:cs="Times New Roman"/>
          <w:sz w:val="32"/>
          <w:szCs w:val="32"/>
        </w:rPr>
        <w:t>支出1,443.91万元，占</w:t>
      </w:r>
      <w:r>
        <w:rPr>
          <w:rFonts w:hint="eastAsia" w:ascii="仿宋_GB2312" w:hAnsi="ˎ̥" w:eastAsia="仿宋_GB2312" w:cs="Times New Roman"/>
          <w:sz w:val="32"/>
          <w:szCs w:val="32"/>
          <w:lang w:val="en-US" w:eastAsia="zh-CN"/>
        </w:rPr>
        <w:t>71.37</w:t>
      </w:r>
      <w:r>
        <w:rPr>
          <w:rFonts w:hint="eastAsia" w:ascii="仿宋_GB2312" w:hAnsi="ˎ̥" w:eastAsia="仿宋_GB2312" w:cs="Times New Roman"/>
          <w:sz w:val="32"/>
          <w:szCs w:val="32"/>
        </w:rPr>
        <w:t>%；</w:t>
      </w:r>
      <w:r>
        <w:rPr>
          <w:rFonts w:hint="eastAsia" w:ascii="仿宋_GB2312" w:hAnsi="ˎ̥" w:eastAsia="仿宋_GB2312" w:cs="Times New Roman"/>
          <w:b/>
          <w:sz w:val="32"/>
          <w:szCs w:val="32"/>
        </w:rPr>
        <w:t>社会保障和就业（类）</w:t>
      </w:r>
      <w:r>
        <w:rPr>
          <w:rFonts w:hint="eastAsia" w:ascii="仿宋_GB2312" w:hAnsi="ˎ̥" w:eastAsia="仿宋_GB2312" w:cs="Times New Roman"/>
          <w:sz w:val="32"/>
          <w:szCs w:val="32"/>
        </w:rPr>
        <w:t>支出296.93万元，</w:t>
      </w:r>
      <w:r>
        <w:rPr>
          <w:rFonts w:hint="eastAsia" w:ascii="仿宋_GB2312" w:hAnsi="ˎ̥" w:eastAsia="仿宋_GB2312" w:cs="Times New Roman"/>
          <w:sz w:val="32"/>
          <w:szCs w:val="32"/>
          <w:lang w:val="en-US" w:eastAsia="zh-CN"/>
        </w:rPr>
        <w:t>占14.68</w:t>
      </w:r>
      <w:r>
        <w:rPr>
          <w:rFonts w:hint="eastAsia" w:ascii="仿宋_GB2312" w:hAnsi="ˎ̥" w:eastAsia="仿宋_GB2312" w:cs="Times New Roman"/>
          <w:sz w:val="32"/>
          <w:szCs w:val="32"/>
        </w:rPr>
        <w:t>%；</w:t>
      </w:r>
      <w:r>
        <w:rPr>
          <w:rFonts w:hint="eastAsia" w:ascii="仿宋_GB2312" w:hAnsi="ˎ̥" w:eastAsia="仿宋_GB2312" w:cs="Times New Roman"/>
          <w:b/>
          <w:bCs/>
          <w:sz w:val="32"/>
          <w:szCs w:val="32"/>
        </w:rPr>
        <w:t>住房保障（类）</w:t>
      </w:r>
      <w:r>
        <w:rPr>
          <w:rFonts w:hint="eastAsia" w:ascii="仿宋_GB2312" w:hAnsi="ˎ̥" w:eastAsia="仿宋_GB2312" w:cs="Times New Roman"/>
          <w:sz w:val="32"/>
          <w:szCs w:val="32"/>
        </w:rPr>
        <w:t>支出111.89万元，占</w:t>
      </w:r>
      <w:r>
        <w:rPr>
          <w:rFonts w:hint="eastAsia" w:ascii="仿宋_GB2312" w:hAnsi="ˎ̥" w:eastAsia="仿宋_GB2312" w:cs="Times New Roman"/>
          <w:sz w:val="32"/>
          <w:szCs w:val="32"/>
          <w:lang w:val="en-US" w:eastAsia="zh-CN"/>
        </w:rPr>
        <w:t>5.53</w:t>
      </w:r>
      <w:r>
        <w:rPr>
          <w:rFonts w:hint="eastAsia" w:ascii="仿宋_GB2312" w:hAnsi="ˎ̥" w:eastAsia="仿宋_GB2312" w:cs="Times New Roman"/>
          <w:sz w:val="32"/>
          <w:szCs w:val="32"/>
        </w:rPr>
        <w:t>%；</w:t>
      </w:r>
      <w:r>
        <w:rPr>
          <w:rFonts w:hint="eastAsia" w:ascii="仿宋_GB2312" w:hAnsi="ˎ̥" w:eastAsia="仿宋_GB2312" w:cs="Times New Roman"/>
          <w:b/>
          <w:bCs/>
          <w:sz w:val="32"/>
          <w:szCs w:val="32"/>
        </w:rPr>
        <w:t>卫生健康（类）</w:t>
      </w:r>
      <w:r>
        <w:rPr>
          <w:rFonts w:hint="eastAsia" w:ascii="仿宋_GB2312" w:hAnsi="ˎ̥" w:eastAsia="仿宋_GB2312" w:cs="Times New Roman"/>
          <w:sz w:val="32"/>
          <w:szCs w:val="32"/>
        </w:rPr>
        <w:t>支出</w:t>
      </w:r>
      <w:bookmarkStart w:id="93" w:name="_Toc21701_WPSOffice_Level2"/>
      <w:bookmarkStart w:id="94" w:name="_Toc9502_WPSOffice_Level2"/>
      <w:bookmarkStart w:id="95" w:name="_Toc25136_WPSOffice_Level2"/>
      <w:bookmarkStart w:id="96" w:name="_Toc29364_WPSOffice_Level2"/>
      <w:bookmarkStart w:id="97" w:name="_Toc15415_WPSOffice_Level2"/>
      <w:bookmarkStart w:id="98" w:name="_Toc22318_WPSOffice_Level2"/>
      <w:r>
        <w:rPr>
          <w:rFonts w:hint="eastAsia" w:ascii="仿宋_GB2312" w:hAnsi="ˎ̥" w:eastAsia="仿宋_GB2312" w:cs="Times New Roman"/>
          <w:sz w:val="32"/>
          <w:szCs w:val="32"/>
        </w:rPr>
        <w:t>170.33万元，占</w:t>
      </w:r>
      <w:r>
        <w:rPr>
          <w:rFonts w:hint="eastAsia" w:ascii="仿宋_GB2312" w:hAnsi="ˎ̥" w:eastAsia="仿宋_GB2312" w:cs="Times New Roman"/>
          <w:sz w:val="32"/>
          <w:szCs w:val="32"/>
          <w:lang w:val="en-US" w:eastAsia="zh-CN"/>
        </w:rPr>
        <w:t>8.42</w:t>
      </w:r>
      <w:r>
        <w:rPr>
          <w:rFonts w:hint="eastAsia" w:ascii="仿宋_GB2312" w:hAnsi="ˎ̥" w:eastAsia="仿宋_GB2312" w:cs="Times New Roman"/>
          <w:sz w:val="32"/>
          <w:szCs w:val="32"/>
        </w:rPr>
        <w:t>%。</w:t>
      </w:r>
    </w:p>
    <w:p w14:paraId="4D6B6DCF">
      <w:pPr>
        <w:ind w:firstLine="640" w:firstLineChars="200"/>
        <w:rPr>
          <w:rFonts w:ascii="楷体" w:hAnsi="楷体" w:eastAsia="楷体" w:cs="楷体"/>
          <w:sz w:val="32"/>
          <w:szCs w:val="32"/>
        </w:rPr>
      </w:pPr>
      <w:r>
        <w:rPr>
          <w:rFonts w:hint="eastAsia" w:ascii="楷体" w:hAnsi="楷体" w:eastAsia="楷体" w:cs="楷体"/>
          <w:sz w:val="32"/>
          <w:szCs w:val="32"/>
        </w:rPr>
        <w:t>（三）一般公共预算财政拨款支出决算具体情况。</w:t>
      </w:r>
      <w:bookmarkEnd w:id="93"/>
      <w:bookmarkEnd w:id="94"/>
      <w:bookmarkEnd w:id="95"/>
      <w:bookmarkEnd w:id="96"/>
      <w:bookmarkEnd w:id="97"/>
      <w:bookmarkEnd w:id="98"/>
    </w:p>
    <w:p w14:paraId="45D40EB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年度一般公共预算财政拨款支出年初预算为2,023.06万元，支出决算为2,023.06万元，完成年初预算的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%。其中：</w:t>
      </w:r>
    </w:p>
    <w:p w14:paraId="235E1003">
      <w:pPr>
        <w:ind w:firstLine="640" w:firstLineChars="200"/>
        <w:rPr>
          <w:rFonts w:ascii="仿宋_GB2312" w:hAnsi="ˎ̥" w:eastAsia="仿宋_GB2312" w:cs="Times New Roman"/>
          <w:b/>
          <w:sz w:val="32"/>
          <w:szCs w:val="32"/>
        </w:rPr>
      </w:pPr>
      <w:r>
        <w:rPr>
          <w:rFonts w:hint="eastAsia" w:ascii="仿宋_GB2312" w:hAnsi="ˎ̥" w:eastAsia="仿宋_GB2312" w:cs="Times New Roman"/>
          <w:sz w:val="32"/>
          <w:szCs w:val="32"/>
        </w:rPr>
        <w:t>1.</w:t>
      </w:r>
      <w:r>
        <w:rPr>
          <w:rFonts w:hint="eastAsia" w:ascii="仿宋_GB2312" w:hAnsi="ˎ̥" w:eastAsia="仿宋_GB2312" w:cs="Times New Roman"/>
          <w:b/>
          <w:sz w:val="32"/>
          <w:szCs w:val="32"/>
        </w:rPr>
        <w:t>教育（类）普通教育（款）小学教育（项）。</w:t>
      </w:r>
    </w:p>
    <w:p w14:paraId="2639DCD1">
      <w:pPr>
        <w:rPr>
          <w:rFonts w:ascii="仿宋_GB2312" w:hAnsi="ˎ̥" w:eastAsia="仿宋_GB2312" w:cs="Times New Roman"/>
          <w:sz w:val="32"/>
          <w:szCs w:val="32"/>
        </w:rPr>
      </w:pPr>
      <w:r>
        <w:rPr>
          <w:rFonts w:hint="eastAsia" w:ascii="仿宋_GB2312" w:hAnsi="ˎ̥" w:eastAsia="仿宋_GB2312" w:cs="Times New Roman"/>
          <w:sz w:val="32"/>
          <w:szCs w:val="32"/>
        </w:rPr>
        <w:t>年初预算为57.08万元，支出决算为57.08万元，完成年初预算的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p>
    <w:p w14:paraId="18279F4A">
      <w:pPr>
        <w:ind w:firstLine="640" w:firstLineChars="200"/>
        <w:rPr>
          <w:rFonts w:ascii="仿宋_GB2312" w:hAnsi="ˎ̥" w:eastAsia="仿宋_GB2312" w:cs="Times New Roman"/>
          <w:b/>
          <w:sz w:val="32"/>
          <w:szCs w:val="32"/>
        </w:rPr>
      </w:pPr>
      <w:r>
        <w:rPr>
          <w:rFonts w:hint="eastAsia" w:ascii="仿宋_GB2312" w:hAnsi="ˎ̥" w:eastAsia="仿宋_GB2312" w:cs="Times New Roman"/>
          <w:sz w:val="32"/>
          <w:szCs w:val="32"/>
        </w:rPr>
        <w:t>2.</w:t>
      </w:r>
      <w:r>
        <w:rPr>
          <w:rFonts w:hint="eastAsia" w:ascii="仿宋_GB2312" w:hAnsi="ˎ̥" w:eastAsia="仿宋_GB2312" w:cs="Times New Roman"/>
          <w:b/>
          <w:sz w:val="32"/>
          <w:szCs w:val="32"/>
        </w:rPr>
        <w:t>教育（类）教育管理事务（款）其他教育管理事务支出（项）。</w:t>
      </w:r>
    </w:p>
    <w:p w14:paraId="2DBF9C6E">
      <w:pPr>
        <w:rPr>
          <w:rFonts w:ascii="仿宋_GB2312" w:hAnsi="ˎ̥" w:eastAsia="仿宋_GB2312" w:cs="Times New Roman"/>
          <w:sz w:val="32"/>
          <w:szCs w:val="32"/>
        </w:rPr>
      </w:pPr>
      <w:r>
        <w:rPr>
          <w:rFonts w:hint="eastAsia" w:ascii="仿宋_GB2312" w:hAnsi="ˎ̥" w:eastAsia="仿宋_GB2312" w:cs="Times New Roman"/>
          <w:sz w:val="32"/>
          <w:szCs w:val="32"/>
        </w:rPr>
        <w:t>年初预算为0万元，支出决算为0万元，完成年初预算的0%。</w:t>
      </w:r>
    </w:p>
    <w:p w14:paraId="066BFD0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3.</w:t>
      </w:r>
      <w:r>
        <w:rPr>
          <w:rFonts w:hint="eastAsia" w:ascii="仿宋_GB2312" w:hAnsi="ˎ̥" w:eastAsia="仿宋_GB2312" w:cs="Times New Roman"/>
          <w:b/>
          <w:sz w:val="32"/>
          <w:szCs w:val="32"/>
        </w:rPr>
        <w:t>社会保障和就业（类）行政事业单位养老支出（款）机关事业单位基本养老保险缴费支出（项）。</w:t>
      </w:r>
    </w:p>
    <w:p w14:paraId="5861ABBE">
      <w:pPr>
        <w:rPr>
          <w:rFonts w:ascii="仿宋_GB2312" w:hAnsi="ˎ̥" w:eastAsia="仿宋_GB2312" w:cs="Times New Roman"/>
          <w:sz w:val="32"/>
          <w:szCs w:val="32"/>
        </w:rPr>
      </w:pPr>
      <w:r>
        <w:rPr>
          <w:rFonts w:hint="eastAsia" w:ascii="仿宋_GB2312" w:hAnsi="ˎ̥" w:eastAsia="仿宋_GB2312" w:cs="Times New Roman"/>
          <w:sz w:val="32"/>
          <w:szCs w:val="32"/>
        </w:rPr>
        <w:t>年初预算为181.10万元，支出决算为181.10万元，完成年初预算的100%。</w:t>
      </w:r>
    </w:p>
    <w:p w14:paraId="67FAC66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4.</w:t>
      </w:r>
      <w:r>
        <w:rPr>
          <w:rFonts w:hint="eastAsia" w:ascii="仿宋_GB2312" w:hAnsi="ˎ̥" w:eastAsia="仿宋_GB2312" w:cs="Times New Roman"/>
          <w:b/>
          <w:sz w:val="32"/>
          <w:szCs w:val="32"/>
        </w:rPr>
        <w:t>社会保障和就业（类）行政事业单位养老支出（款）机关事业单位职业年金缴费支出（项）。</w:t>
      </w:r>
    </w:p>
    <w:p w14:paraId="7C665E87">
      <w:pPr>
        <w:rPr>
          <w:rFonts w:ascii="仿宋_GB2312" w:hAnsi="ˎ̥" w:eastAsia="仿宋_GB2312" w:cs="Times New Roman"/>
          <w:sz w:val="32"/>
          <w:szCs w:val="32"/>
        </w:rPr>
      </w:pPr>
      <w:r>
        <w:rPr>
          <w:rFonts w:hint="eastAsia" w:ascii="仿宋_GB2312" w:hAnsi="ˎ̥" w:eastAsia="仿宋_GB2312" w:cs="Times New Roman"/>
          <w:sz w:val="32"/>
          <w:szCs w:val="32"/>
        </w:rPr>
        <w:t>年初预算为115.83万元，支出决算为115.83万元，完成年初预算的</w:t>
      </w:r>
      <w:r>
        <w:rPr>
          <w:rFonts w:hint="eastAsia" w:ascii="仿宋_GB2312" w:hAnsi="ˎ̥" w:eastAsia="仿宋_GB2312" w:cs="Times New Roman"/>
          <w:sz w:val="32"/>
          <w:szCs w:val="32"/>
          <w:lang w:val="en-US" w:eastAsia="zh-CN"/>
        </w:rPr>
        <w:t>10</w:t>
      </w:r>
      <w:r>
        <w:rPr>
          <w:rFonts w:hint="eastAsia" w:ascii="仿宋_GB2312" w:hAnsi="ˎ̥" w:eastAsia="仿宋_GB2312" w:cs="Times New Roman"/>
          <w:sz w:val="32"/>
          <w:szCs w:val="32"/>
        </w:rPr>
        <w:t>0%。</w:t>
      </w:r>
    </w:p>
    <w:p w14:paraId="4A0F7FC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5.</w:t>
      </w:r>
      <w:r>
        <w:rPr>
          <w:rFonts w:hint="eastAsia" w:ascii="仿宋_GB2312" w:hAnsi="ˎ̥" w:eastAsia="仿宋_GB2312" w:cs="Times New Roman"/>
          <w:b/>
          <w:sz w:val="32"/>
          <w:szCs w:val="32"/>
        </w:rPr>
        <w:t>卫生健康（类）行政事业单位医疗（款）事业单位医疗（项）。</w:t>
      </w:r>
    </w:p>
    <w:p w14:paraId="22F3D0A1">
      <w:pPr>
        <w:rPr>
          <w:rFonts w:ascii="仿宋_GB2312" w:hAnsi="ˎ̥" w:eastAsia="仿宋_GB2312" w:cs="Times New Roman"/>
          <w:sz w:val="32"/>
          <w:szCs w:val="32"/>
        </w:rPr>
      </w:pPr>
      <w:r>
        <w:rPr>
          <w:rFonts w:hint="eastAsia" w:ascii="仿宋_GB2312" w:hAnsi="ˎ̥" w:eastAsia="仿宋_GB2312" w:cs="Times New Roman"/>
          <w:sz w:val="32"/>
          <w:szCs w:val="32"/>
        </w:rPr>
        <w:t>年初预算为54.48万元，支出决算为54.48万元，完成年初预算的</w:t>
      </w:r>
      <w:r>
        <w:rPr>
          <w:rFonts w:hint="eastAsia" w:ascii="仿宋_GB2312" w:hAnsi="ˎ̥" w:eastAsia="仿宋_GB2312" w:cs="Times New Roman"/>
          <w:sz w:val="32"/>
          <w:szCs w:val="32"/>
          <w:lang w:val="en-US" w:eastAsia="zh-CN"/>
        </w:rPr>
        <w:t>100</w:t>
      </w:r>
      <w:r>
        <w:rPr>
          <w:rFonts w:hint="eastAsia" w:ascii="仿宋_GB2312" w:hAnsi="ˎ̥" w:eastAsia="仿宋_GB2312" w:cs="Times New Roman"/>
          <w:sz w:val="32"/>
          <w:szCs w:val="32"/>
        </w:rPr>
        <w:t>%。</w:t>
      </w:r>
    </w:p>
    <w:p w14:paraId="367D763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6.</w:t>
      </w:r>
      <w:r>
        <w:rPr>
          <w:rFonts w:hint="eastAsia" w:ascii="仿宋_GB2312" w:hAnsi="ˎ̥" w:eastAsia="仿宋_GB2312" w:cs="Times New Roman"/>
          <w:b/>
          <w:sz w:val="32"/>
          <w:szCs w:val="32"/>
        </w:rPr>
        <w:t>社会保障和就业（类）行政事业单位医疗（款）公务员医疗补助（项）。</w:t>
      </w:r>
    </w:p>
    <w:p w14:paraId="6F5EF9B3">
      <w:pPr>
        <w:rPr>
          <w:rFonts w:ascii="仿宋_GB2312" w:hAnsi="ˎ̥" w:eastAsia="仿宋_GB2312" w:cs="Times New Roman"/>
          <w:sz w:val="32"/>
          <w:szCs w:val="32"/>
        </w:rPr>
      </w:pPr>
      <w:r>
        <w:rPr>
          <w:rFonts w:hint="eastAsia" w:ascii="仿宋_GB2312" w:hAnsi="ˎ̥" w:eastAsia="仿宋_GB2312" w:cs="Times New Roman"/>
          <w:sz w:val="32"/>
          <w:szCs w:val="32"/>
        </w:rPr>
        <w:t>年初预算为115.95万元，支出决算为115.95万元，完成年初预算的100%。</w:t>
      </w:r>
    </w:p>
    <w:p w14:paraId="2647D981">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7.</w:t>
      </w:r>
      <w:r>
        <w:rPr>
          <w:rFonts w:hint="eastAsia" w:ascii="仿宋_GB2312" w:hAnsi="ˎ̥" w:eastAsia="仿宋_GB2312" w:cs="Times New Roman"/>
          <w:b/>
          <w:sz w:val="32"/>
          <w:szCs w:val="32"/>
        </w:rPr>
        <w:t>住房保障（类）住房改革支出（款）住房公积金（项）。</w:t>
      </w:r>
    </w:p>
    <w:p w14:paraId="2E90F9F8">
      <w:pPr>
        <w:rPr>
          <w:rFonts w:ascii="仿宋_GB2312" w:hAnsi="ˎ̥" w:eastAsia="仿宋_GB2312" w:cs="Times New Roman"/>
          <w:sz w:val="32"/>
          <w:szCs w:val="32"/>
        </w:rPr>
      </w:pPr>
      <w:r>
        <w:rPr>
          <w:rFonts w:hint="eastAsia" w:ascii="仿宋_GB2312" w:hAnsi="ˎ̥" w:eastAsia="仿宋_GB2312" w:cs="Times New Roman"/>
          <w:sz w:val="32"/>
          <w:szCs w:val="32"/>
        </w:rPr>
        <w:t>年初预算为111.89万元，支出决算为111.89万元，完成年初预算的100%。</w:t>
      </w:r>
    </w:p>
    <w:p w14:paraId="36FBEFAF">
      <w:pPr>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14:paraId="45220DBD">
      <w:pPr>
        <w:tabs>
          <w:tab w:val="center" w:pos="4473"/>
        </w:tabs>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highlight w:val="none"/>
          <w:lang w:eastAsia="zh-CN"/>
        </w:rPr>
        <w:t>2023</w:t>
      </w:r>
      <w:r>
        <w:rPr>
          <w:rFonts w:hint="eastAsia" w:ascii="仿宋_GB2312" w:hAnsi="ˎ̥" w:eastAsia="仿宋_GB2312" w:cs="Times New Roman"/>
          <w:sz w:val="32"/>
          <w:szCs w:val="32"/>
          <w:highlight w:val="none"/>
        </w:rPr>
        <w:t>年度财政拨款基本支出1,602.54万元，其中：人员经费1,602.43万元</w:t>
      </w:r>
      <w:r>
        <w:rPr>
          <w:rFonts w:hint="eastAsia" w:ascii="仿宋_GB2312" w:hAnsi="ˎ̥" w:eastAsia="仿宋_GB2312" w:cs="Times New Roman"/>
          <w:sz w:val="32"/>
          <w:szCs w:val="32"/>
        </w:rPr>
        <w:t>，主要包括：基本工资、津贴补贴、奖金、绩效工资、机关事业单位基本养老保险缴费、职业年金缴费、职工基本医疗保险缴费、公务员医疗补助缴费、其他社会保障缴费、住房公积金、医疗费、对个人和家庭的补助支出、奖励金等。</w:t>
      </w:r>
      <w:r>
        <w:rPr>
          <w:rFonts w:hint="eastAsia" w:ascii="仿宋_GB2312" w:hAnsi="ˎ̥" w:eastAsia="仿宋_GB2312" w:cs="Times New Roman"/>
          <w:sz w:val="32"/>
          <w:szCs w:val="32"/>
          <w:highlight w:val="none"/>
        </w:rPr>
        <w:t>公用经费37.25万元，</w:t>
      </w:r>
      <w:r>
        <w:rPr>
          <w:rFonts w:hint="eastAsia" w:ascii="仿宋_GB2312" w:hAnsi="ˎ̥" w:eastAsia="仿宋_GB2312" w:cs="Times New Roman"/>
          <w:sz w:val="32"/>
          <w:szCs w:val="32"/>
        </w:rPr>
        <w:t>主要包括：邮电费、工会经费、其他商品和服务支出。</w:t>
      </w:r>
    </w:p>
    <w:p w14:paraId="2A3DA530">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3A596940">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7D647AC5">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年度政府性基金预算财政拨款支出0万元，占本年支出合计的0%。与</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年度相比，政府性基金预算财政拨款支出增加0万元，增长0%，主要原因是没有该项预算。</w:t>
      </w:r>
    </w:p>
    <w:p w14:paraId="1D4BCE30">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148EBA9E">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年度政府性基金预算财政拨款支出0万元。</w:t>
      </w:r>
    </w:p>
    <w:p w14:paraId="0E504D9B">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10308BE3">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年度政府性基金预算财政拨款支出年初预算为0万元，支出决算为0万元，完成年初预算的0%。</w:t>
      </w:r>
    </w:p>
    <w:p w14:paraId="6BE8CDDC">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6C1783ED">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18C4D6B7">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年度国有资本经营预算财政拨款支出0万元，占本年支出合计的0%。与</w:t>
      </w:r>
      <w:r>
        <w:rPr>
          <w:rFonts w:hint="eastAsia" w:ascii="仿宋_GB2312" w:hAnsi="ˎ̥" w:eastAsia="仿宋_GB2312" w:cs="Times New Roman"/>
          <w:sz w:val="32"/>
          <w:szCs w:val="32"/>
          <w:lang w:eastAsia="zh-CN"/>
        </w:rPr>
        <w:t>2022</w:t>
      </w:r>
      <w:r>
        <w:rPr>
          <w:rFonts w:hint="eastAsia" w:ascii="仿宋_GB2312" w:hAnsi="ˎ̥" w:eastAsia="仿宋_GB2312" w:cs="Times New Roman"/>
          <w:sz w:val="32"/>
          <w:szCs w:val="32"/>
        </w:rPr>
        <w:t>年度相比，国有资本经营预算财政拨款支出增加0万元，增长0%，主要原因是没有该项预算。</w:t>
      </w:r>
    </w:p>
    <w:p w14:paraId="04863EAA">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4F88CF3A">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年度国有资本经营预算财政拨款支出0万元。</w:t>
      </w:r>
    </w:p>
    <w:p w14:paraId="2FF76B1C">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0D66D66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年度国有资本经营预算财政拨款支出年初预算为0万元，支出决算为0万元，完成年初预算的0%。</w:t>
      </w:r>
    </w:p>
    <w:p w14:paraId="4467FCDD">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九、一般公共预算财政拨款“三公”经费支出决算情况说明</w:t>
      </w:r>
    </w:p>
    <w:p w14:paraId="0A121B52">
      <w:pPr>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14:paraId="4A8E5C6B">
      <w:pPr>
        <w:ind w:firstLine="64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年度一般公共预算财政拨款“三公”经费支出预算为0万元，支出决算为0万元，完成预算的0%，支出决算与预算数持平。</w:t>
      </w:r>
    </w:p>
    <w:p w14:paraId="5ACC2E43">
      <w:pPr>
        <w:ind w:firstLine="640"/>
        <w:rPr>
          <w:rFonts w:ascii="楷体" w:hAnsi="楷体" w:eastAsia="楷体" w:cs="楷体"/>
          <w:b/>
          <w:bCs/>
          <w:sz w:val="32"/>
          <w:szCs w:val="32"/>
        </w:rPr>
      </w:pPr>
      <w:r>
        <w:rPr>
          <w:rFonts w:hint="eastAsia" w:ascii="楷体" w:hAnsi="楷体" w:eastAsia="楷体" w:cs="楷体"/>
          <w:b/>
          <w:bCs/>
          <w:sz w:val="32"/>
          <w:szCs w:val="32"/>
        </w:rPr>
        <w:t>（二）一般公共预算财政拨款“三公”经费支出决算具体情况说明。</w:t>
      </w:r>
    </w:p>
    <w:p w14:paraId="37265DC5">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年度一般公共预算财政拨款“三公”经费支出决算中，因公出国（境）费支出决算0万元，占0%；公务用车购置及运行费支出决算0万元，占0%；公务接待费支出决算0万元，占0%。具体情况如下：</w:t>
      </w:r>
    </w:p>
    <w:p w14:paraId="14553A23">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1.因公出国（境）费</w:t>
      </w:r>
      <w:r>
        <w:rPr>
          <w:rFonts w:hint="eastAsia" w:ascii="仿宋_GB2312" w:hAnsi="ˎ̥" w:eastAsia="仿宋_GB2312" w:cs="Times New Roman"/>
          <w:sz w:val="32"/>
          <w:szCs w:val="32"/>
        </w:rPr>
        <w:t>支出0万元。全年安排因公出国（境）团组0个，因公出国（境）0人次。</w:t>
      </w:r>
    </w:p>
    <w:p w14:paraId="70597C0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因公出国（境）费支出决算与预算数持平。</w:t>
      </w:r>
    </w:p>
    <w:p w14:paraId="5E0F41B6">
      <w:pPr>
        <w:rPr>
          <w:rFonts w:ascii="仿宋_GB2312" w:hAnsi="ˎ̥" w:eastAsia="仿宋_GB2312" w:cs="Times New Roman"/>
          <w:sz w:val="32"/>
          <w:szCs w:val="32"/>
        </w:rPr>
      </w:pPr>
      <w:r>
        <w:rPr>
          <w:rFonts w:hint="eastAsia" w:ascii="仿宋_GB2312" w:hAnsi="ˎ̥" w:eastAsia="仿宋_GB2312" w:cs="Times New Roman"/>
          <w:b/>
          <w:sz w:val="32"/>
          <w:szCs w:val="32"/>
        </w:rPr>
        <w:t xml:space="preserve">    2.公务用车购置及运行费支出</w:t>
      </w:r>
      <w:r>
        <w:rPr>
          <w:rFonts w:hint="eastAsia" w:ascii="仿宋_GB2312" w:hAnsi="ˎ̥" w:eastAsia="仿宋_GB2312" w:cs="Times New Roman"/>
          <w:sz w:val="32"/>
          <w:szCs w:val="32"/>
        </w:rPr>
        <w:t>0万元。其中：</w:t>
      </w:r>
    </w:p>
    <w:p w14:paraId="16CF77E4">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公务用车购置支出</w:t>
      </w:r>
      <w:r>
        <w:rPr>
          <w:rFonts w:hint="eastAsia" w:ascii="仿宋_GB2312" w:hAnsi="ˎ̥" w:eastAsia="仿宋_GB2312" w:cs="Times New Roman"/>
          <w:sz w:val="32"/>
          <w:szCs w:val="32"/>
        </w:rPr>
        <w:t>0万元，全年购置公务用车0辆，年末公务用车保有量0辆。</w:t>
      </w:r>
    </w:p>
    <w:p w14:paraId="2A4CA635">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公务用车运行维护费</w:t>
      </w:r>
      <w:r>
        <w:rPr>
          <w:rFonts w:hint="eastAsia" w:ascii="仿宋_GB2312" w:hAnsi="ˎ̥" w:eastAsia="仿宋_GB2312" w:cs="Times New Roman"/>
          <w:sz w:val="32"/>
          <w:szCs w:val="32"/>
        </w:rPr>
        <w:t>支出0万元。</w:t>
      </w:r>
    </w:p>
    <w:p w14:paraId="33D8A4C8">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公务用车购置及运行费支出决算与预算数持平。</w:t>
      </w:r>
    </w:p>
    <w:p w14:paraId="7425C795">
      <w:pPr>
        <w:rPr>
          <w:rFonts w:ascii="仿宋_GB2312" w:hAnsi="ˎ̥" w:eastAsia="仿宋_GB2312" w:cs="Times New Roman"/>
          <w:sz w:val="32"/>
          <w:szCs w:val="32"/>
        </w:rPr>
      </w:pPr>
      <w:r>
        <w:rPr>
          <w:rFonts w:hint="eastAsia" w:ascii="仿宋_GB2312" w:hAnsi="ˎ̥" w:eastAsia="仿宋_GB2312" w:cs="Times New Roman"/>
          <w:b/>
          <w:sz w:val="32"/>
          <w:szCs w:val="32"/>
        </w:rPr>
        <w:t xml:space="preserve">    3.公务接待费支出</w:t>
      </w:r>
      <w:r>
        <w:rPr>
          <w:rFonts w:hint="eastAsia" w:ascii="仿宋_GB2312" w:hAnsi="ˎ̥" w:eastAsia="仿宋_GB2312" w:cs="Times New Roman"/>
          <w:sz w:val="32"/>
          <w:szCs w:val="32"/>
        </w:rPr>
        <w:t>0万元，其中：</w:t>
      </w:r>
    </w:p>
    <w:p w14:paraId="7553939C">
      <w:pPr>
        <w:ind w:firstLine="643" w:firstLineChars="200"/>
        <w:rPr>
          <w:rFonts w:ascii="仿宋_GB2312" w:hAnsi="ˎ̥" w:eastAsia="仿宋_GB2312" w:cs="Times New Roman"/>
          <w:sz w:val="32"/>
          <w:szCs w:val="32"/>
        </w:rPr>
      </w:pPr>
      <w:r>
        <w:rPr>
          <w:rFonts w:hint="eastAsia" w:ascii="仿宋_GB2312" w:hAnsi="ˎ̥" w:eastAsia="仿宋_GB2312" w:cs="Times New Roman"/>
          <w:b/>
          <w:sz w:val="32"/>
          <w:szCs w:val="32"/>
        </w:rPr>
        <w:t>国内接待费</w:t>
      </w:r>
      <w:r>
        <w:rPr>
          <w:rFonts w:hint="eastAsia" w:ascii="仿宋_GB2312" w:hAnsi="ˎ̥" w:eastAsia="仿宋_GB2312" w:cs="Times New Roman"/>
          <w:sz w:val="32"/>
          <w:szCs w:val="32"/>
        </w:rPr>
        <w:t>支出0万元，国内公务接待0批次，接待0人次。</w:t>
      </w:r>
    </w:p>
    <w:p w14:paraId="3CBF47B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国（境）外接待费支出0万元，国（境）外公务接待0批次，接待0人次。</w:t>
      </w:r>
    </w:p>
    <w:p w14:paraId="5BEF5E6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val="zh-CN"/>
        </w:rPr>
        <w:t>公务接待费支出决算数与预算数持平。</w:t>
      </w:r>
    </w:p>
    <w:p w14:paraId="2813FE14">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十、政府性基金预算财政拨款“三公”经费支出决算情况说明</w:t>
      </w:r>
    </w:p>
    <w:p w14:paraId="23A4C8B2">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年度政府性基金预算财政拨款“三公”经费支出合计0万元。其中：因公出国（境）费支出决算0万元，占0%；公务用车购置及运行费支出决算0万元，占0%；公务接待费支出决算0万元，占0%。</w:t>
      </w:r>
    </w:p>
    <w:p w14:paraId="22326377">
      <w:pPr>
        <w:ind w:firstLine="627" w:firstLineChars="196"/>
        <w:rPr>
          <w:rFonts w:ascii="仿宋_GB2312" w:hAnsi="ˎ̥" w:eastAsia="楷体_GB2312" w:cs="Times New Roman"/>
          <w:sz w:val="32"/>
          <w:szCs w:val="32"/>
        </w:rPr>
      </w:pPr>
      <w:r>
        <w:rPr>
          <w:rFonts w:hint="eastAsia" w:ascii="黑体" w:hAnsi="黑体" w:eastAsia="黑体" w:cs="黑体"/>
          <w:bCs/>
          <w:sz w:val="32"/>
          <w:szCs w:val="32"/>
        </w:rPr>
        <w:t>十一、国有资本经营预算财政拨款“三公”经费支出决算情况说明</w:t>
      </w:r>
    </w:p>
    <w:p w14:paraId="21983B0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lang w:eastAsia="zh-CN"/>
        </w:rPr>
        <w:t>2023</w:t>
      </w:r>
      <w:r>
        <w:rPr>
          <w:rFonts w:hint="eastAsia" w:ascii="仿宋_GB2312" w:hAnsi="ˎ̥" w:eastAsia="仿宋_GB2312" w:cs="Times New Roman"/>
          <w:sz w:val="32"/>
          <w:szCs w:val="32"/>
        </w:rPr>
        <w:t>年度国有资本经营预算财政拨款“三公”经费支出合计0万元。其中：因公出国（境）费支出决算0万元，占0%；公务用车购置及运行费支出决算0万元，占0%；公务接待费支出决算0万元，占0%。</w:t>
      </w:r>
    </w:p>
    <w:p w14:paraId="6E62B967">
      <w:pPr>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14:paraId="1EFAB1BD">
      <w:p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（一）绩效管理工作开展情况。</w:t>
      </w:r>
    </w:p>
    <w:p w14:paraId="7015FFD0">
      <w:pPr>
        <w:spacing w:line="578"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根据财政预算管理要求，三亚市</w:t>
      </w:r>
      <w:r>
        <w:rPr>
          <w:rFonts w:hint="eastAsia" w:ascii="仿宋_GB2312" w:hAnsi="Times New Roman" w:eastAsia="仿宋_GB2312" w:cs="Times New Roman"/>
          <w:sz w:val="32"/>
          <w:szCs w:val="32"/>
          <w:lang w:eastAsia="zh-CN"/>
        </w:rPr>
        <w:t>南岛学校</w:t>
      </w:r>
      <w:r>
        <w:rPr>
          <w:rFonts w:hint="eastAsia" w:ascii="仿宋_GB2312" w:hAnsi="Times New Roman" w:eastAsia="仿宋_GB2312" w:cs="Times New Roman"/>
          <w:sz w:val="32"/>
          <w:szCs w:val="32"/>
        </w:rPr>
        <w:t>对</w:t>
      </w:r>
      <w:r>
        <w:rPr>
          <w:rFonts w:hint="eastAsia" w:ascii="仿宋_GB2312" w:hAnsi="Times New Roman" w:eastAsia="仿宋_GB2312" w:cs="Times New Roman"/>
          <w:sz w:val="32"/>
          <w:szCs w:val="32"/>
          <w:lang w:eastAsia="zh-CN"/>
        </w:rPr>
        <w:t>2023</w:t>
      </w:r>
      <w:r>
        <w:rPr>
          <w:rFonts w:hint="eastAsia" w:ascii="仿宋_GB2312" w:hAnsi="Times New Roman" w:eastAsia="仿宋_GB2312" w:cs="Times New Roman"/>
          <w:sz w:val="32"/>
          <w:szCs w:val="32"/>
        </w:rPr>
        <w:t>年度一般公共预算项目支出全面开展绩效自评。自评项目</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个，共涉及资金</w:t>
      </w:r>
      <w:r>
        <w:rPr>
          <w:rFonts w:hint="eastAsia" w:ascii="仿宋_GB2312" w:hAnsi="Times New Roman" w:eastAsia="仿宋_GB2312" w:cs="Times New Roman"/>
          <w:sz w:val="32"/>
          <w:szCs w:val="32"/>
          <w:lang w:val="en-US" w:eastAsia="zh-CN"/>
        </w:rPr>
        <w:t>368.26</w:t>
      </w:r>
      <w:r>
        <w:rPr>
          <w:rFonts w:hint="eastAsia" w:ascii="仿宋_GB2312" w:hAnsi="Times New Roman" w:eastAsia="仿宋_GB2312" w:cs="Times New Roman"/>
          <w:sz w:val="32"/>
          <w:szCs w:val="32"/>
        </w:rPr>
        <w:t>万元，自评覆盖率达到100%。</w:t>
      </w:r>
    </w:p>
    <w:p w14:paraId="0C651D06">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共组织对“人才引进及师资队伍建设”、“教育教学管理及监督”、“公用经费”</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课后服务专项经费</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个项目开展了部门评价，涉及资金</w:t>
      </w:r>
      <w:r>
        <w:rPr>
          <w:rFonts w:hint="eastAsia" w:ascii="仿宋_GB2312" w:hAnsi="Times New Roman" w:eastAsia="仿宋_GB2312" w:cs="Times New Roman"/>
          <w:sz w:val="32"/>
          <w:szCs w:val="32"/>
          <w:lang w:val="en-US" w:eastAsia="zh-CN"/>
        </w:rPr>
        <w:t>368.26</w:t>
      </w:r>
      <w:r>
        <w:rPr>
          <w:rFonts w:hint="eastAsia" w:ascii="仿宋_GB2312" w:hAnsi="Times New Roman" w:eastAsia="仿宋_GB2312" w:cs="Times New Roman"/>
          <w:sz w:val="32"/>
          <w:szCs w:val="32"/>
        </w:rPr>
        <w:t>万元。</w:t>
      </w:r>
    </w:p>
    <w:p w14:paraId="03AB918B">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开展整体支出绩效评价，涉及资金</w:t>
      </w:r>
      <w:r>
        <w:rPr>
          <w:rFonts w:hint="eastAsia" w:ascii="仿宋_GB2312" w:hAnsi="Times New Roman" w:eastAsia="仿宋_GB2312" w:cs="Times New Roman"/>
          <w:sz w:val="32"/>
          <w:szCs w:val="32"/>
          <w:lang w:val="en-US" w:eastAsia="zh-CN"/>
        </w:rPr>
        <w:t>368.26</w:t>
      </w:r>
      <w:r>
        <w:rPr>
          <w:rFonts w:hint="eastAsia" w:ascii="仿宋_GB2312" w:hAnsi="Times New Roman" w:eastAsia="仿宋_GB2312" w:cs="Times New Roman"/>
          <w:sz w:val="32"/>
          <w:szCs w:val="32"/>
        </w:rPr>
        <w:t>万元。</w:t>
      </w:r>
    </w:p>
    <w:p w14:paraId="276721CC">
      <w:pPr>
        <w:numPr>
          <w:ilvl w:val="0"/>
          <w:numId w:val="3"/>
        </w:num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部门决算中项目绩效自评结果。</w:t>
      </w:r>
    </w:p>
    <w:p w14:paraId="6AA1D7E4">
      <w:pPr>
        <w:spacing w:line="578" w:lineRule="exact"/>
        <w:rPr>
          <w:rFonts w:ascii="仿宋_GB2312" w:hAnsi="Times New Roman" w:eastAsia="仿宋_GB2312" w:cs="Times New Roman"/>
          <w:color w:val="FF0000"/>
          <w:sz w:val="32"/>
          <w:szCs w:val="32"/>
          <w:highlight w:val="yellow"/>
        </w:rPr>
      </w:pPr>
      <w:r>
        <w:rPr>
          <w:rFonts w:hint="eastAsia" w:ascii="楷体" w:hAnsi="楷体" w:eastAsia="楷体" w:cs="楷体"/>
          <w:b/>
          <w:color w:val="000000" w:themeColor="text1"/>
          <w:sz w:val="32"/>
          <w:szCs w:val="32"/>
          <w14:textFill>
            <w14:solidFill>
              <w14:schemeClr w14:val="tx1"/>
            </w14:solidFill>
          </w14:textFill>
        </w:rPr>
        <w:t xml:space="preserve">    </w:t>
      </w:r>
      <w:r>
        <w:rPr>
          <w:rFonts w:hint="eastAsia" w:ascii="仿宋_GB2312" w:hAnsi="Times New Roman" w:eastAsia="仿宋_GB2312" w:cs="Times New Roman"/>
          <w:sz w:val="32"/>
          <w:szCs w:val="32"/>
        </w:rPr>
        <w:t xml:space="preserve">为了改善学校办学条件，完善学校硬件设备，保障学校平稳发展满足学校教学需求，学校引进师资队伍；并购置电子白板、速印机、计算机等，该项目支出都从学校公用经费支出，学校存在经费缺口，还有大批设备未完成采购。 </w:t>
      </w:r>
      <w:r>
        <w:rPr>
          <w:rFonts w:hint="eastAsia" w:ascii="楷体" w:hAnsi="楷体" w:eastAsia="楷体" w:cs="楷体"/>
          <w:b/>
          <w:color w:val="000000" w:themeColor="text1"/>
          <w:sz w:val="32"/>
          <w:szCs w:val="32"/>
          <w14:textFill>
            <w14:solidFill>
              <w14:schemeClr w14:val="tx1"/>
            </w14:solidFill>
          </w14:textFill>
        </w:rPr>
        <w:t xml:space="preserve"> </w:t>
      </w:r>
    </w:p>
    <w:p w14:paraId="3EB824B7">
      <w:pPr>
        <w:numPr>
          <w:ilvl w:val="0"/>
          <w:numId w:val="3"/>
        </w:num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财政评价项目绩效评价结果。</w:t>
      </w:r>
    </w:p>
    <w:p w14:paraId="1DB111B9">
      <w:pPr>
        <w:spacing w:line="578" w:lineRule="exact"/>
        <w:ind w:firstLine="1280" w:firstLineChars="4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无。</w:t>
      </w:r>
    </w:p>
    <w:p w14:paraId="19FD8240">
      <w:pPr>
        <w:numPr>
          <w:ilvl w:val="0"/>
          <w:numId w:val="3"/>
        </w:numPr>
        <w:spacing w:line="578"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部门评价项目绩效评价结果。</w:t>
      </w:r>
    </w:p>
    <w:p w14:paraId="10C51536">
      <w:pPr>
        <w:spacing w:line="578" w:lineRule="exact"/>
        <w:ind w:left="420" w:leftChars="200" w:firstLine="960" w:firstLineChars="300"/>
        <w:rPr>
          <w:rFonts w:ascii="楷体" w:hAnsi="楷体" w:eastAsia="楷体" w:cs="楷体"/>
          <w:b/>
          <w:color w:val="000000" w:themeColor="text1"/>
          <w:sz w:val="32"/>
          <w:szCs w:val="32"/>
          <w14:textFill>
            <w14:solidFill>
              <w14:schemeClr w14:val="tx1"/>
            </w14:solidFill>
          </w14:textFill>
        </w:rPr>
      </w:pPr>
      <w:r>
        <w:rPr>
          <w:rFonts w:hint="eastAsia" w:ascii="仿宋_GB2312" w:hAnsi="Times New Roman" w:eastAsia="仿宋_GB2312" w:cs="Times New Roman"/>
          <w:sz w:val="32"/>
          <w:szCs w:val="32"/>
        </w:rPr>
        <w:t>无。</w:t>
      </w:r>
    </w:p>
    <w:p w14:paraId="3CD035D9">
      <w:pPr>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14:paraId="33C139D7">
      <w:pPr>
        <w:ind w:firstLine="643" w:firstLineChars="200"/>
        <w:rPr>
          <w:rFonts w:ascii="楷体" w:hAnsi="楷体" w:eastAsia="楷体" w:cs="楷体"/>
          <w:b/>
          <w:sz w:val="32"/>
          <w:szCs w:val="32"/>
        </w:rPr>
      </w:pPr>
      <w:bookmarkStart w:id="99" w:name="_Toc15262_WPSOffice_Level2"/>
      <w:bookmarkStart w:id="100" w:name="_Toc15565_WPSOffice_Level2"/>
      <w:bookmarkStart w:id="101" w:name="_Toc23598_WPSOffice_Level2"/>
      <w:bookmarkStart w:id="102" w:name="_Toc18325_WPSOffice_Level2"/>
      <w:bookmarkStart w:id="103" w:name="_Toc32639_WPSOffice_Level2"/>
      <w:bookmarkStart w:id="104" w:name="_Toc5978_WPSOffice_Level2"/>
      <w:r>
        <w:rPr>
          <w:rFonts w:hint="eastAsia" w:ascii="楷体" w:hAnsi="楷体" w:eastAsia="楷体" w:cs="楷体"/>
          <w:b/>
          <w:sz w:val="32"/>
          <w:szCs w:val="32"/>
        </w:rPr>
        <w:t>（一）机关运行经费支出情况。</w:t>
      </w:r>
      <w:bookmarkEnd w:id="99"/>
      <w:bookmarkEnd w:id="100"/>
      <w:bookmarkEnd w:id="101"/>
      <w:bookmarkEnd w:id="102"/>
      <w:bookmarkEnd w:id="103"/>
      <w:bookmarkEnd w:id="104"/>
    </w:p>
    <w:p w14:paraId="5C8D03B0">
      <w:pPr>
        <w:ind w:firstLine="640" w:firstLineChars="200"/>
        <w:rPr>
          <w:rFonts w:ascii="仿宋_GB2312" w:hAnsi="ˎ̥" w:eastAsia="仿宋_GB2312" w:cs="Times New Roman"/>
          <w:sz w:val="32"/>
          <w:szCs w:val="32"/>
        </w:rPr>
      </w:pPr>
      <w:r>
        <w:rPr>
          <w:rFonts w:hint="eastAsia" w:ascii="仿宋_GB2312" w:hAnsi="ˎ̥" w:eastAsia="仿宋_GB2312" w:cs="Times New Roman"/>
          <w:color w:val="000000" w:themeColor="text1"/>
          <w:sz w:val="32"/>
          <w:szCs w:val="32"/>
          <w:lang w:eastAsia="zh-CN"/>
          <w14:textFill>
            <w14:solidFill>
              <w14:schemeClr w14:val="tx1"/>
            </w14:solidFill>
          </w14:textFill>
        </w:rPr>
        <w:t>2023</w:t>
      </w:r>
      <w:r>
        <w:rPr>
          <w:rFonts w:hint="eastAsia" w:ascii="仿宋_GB2312" w:hAnsi="ˎ̥" w:eastAsia="仿宋_GB2312" w:cs="Times New Roman"/>
          <w:color w:val="000000" w:themeColor="text1"/>
          <w:sz w:val="32"/>
          <w:szCs w:val="32"/>
          <w14:textFill>
            <w14:solidFill>
              <w14:schemeClr w14:val="tx1"/>
            </w14:solidFill>
          </w14:textFill>
        </w:rPr>
        <w:t>年度三亚市</w:t>
      </w:r>
      <w:r>
        <w:rPr>
          <w:rFonts w:hint="eastAsia" w:ascii="仿宋_GB2312" w:hAnsi="ˎ̥" w:eastAsia="仿宋_GB2312" w:cs="Times New Roman"/>
          <w:color w:val="000000" w:themeColor="text1"/>
          <w:sz w:val="32"/>
          <w:szCs w:val="32"/>
          <w:lang w:eastAsia="zh-CN"/>
          <w14:textFill>
            <w14:solidFill>
              <w14:schemeClr w14:val="tx1"/>
            </w14:solidFill>
          </w14:textFill>
        </w:rPr>
        <w:t>南岛学校</w:t>
      </w:r>
      <w:r>
        <w:rPr>
          <w:rFonts w:hint="eastAsia" w:ascii="仿宋_GB2312" w:hAnsi="ˎ̥" w:eastAsia="仿宋_GB2312" w:cs="Times New Roman"/>
          <w:color w:val="000000" w:themeColor="text1"/>
          <w:sz w:val="32"/>
          <w:szCs w:val="32"/>
          <w14:textFill>
            <w14:solidFill>
              <w14:schemeClr w14:val="tx1"/>
            </w14:solidFill>
          </w14:textFill>
        </w:rPr>
        <w:t>机关运行经费0万元。主要原因是：事业单位没</w:t>
      </w:r>
      <w:r>
        <w:rPr>
          <w:rFonts w:hint="eastAsia" w:ascii="仿宋_GB2312" w:hAnsi="ˎ̥" w:eastAsia="仿宋_GB2312" w:cs="Times New Roman"/>
          <w:sz w:val="32"/>
          <w:szCs w:val="32"/>
        </w:rPr>
        <w:t>有机关运行经费支出</w:t>
      </w:r>
    </w:p>
    <w:p w14:paraId="2A01E1EA">
      <w:pPr>
        <w:ind w:firstLine="643" w:firstLineChars="200"/>
        <w:rPr>
          <w:rFonts w:ascii="楷体" w:hAnsi="楷体" w:eastAsia="楷体" w:cs="楷体"/>
          <w:b/>
          <w:sz w:val="32"/>
          <w:szCs w:val="32"/>
        </w:rPr>
      </w:pPr>
      <w:bookmarkStart w:id="105" w:name="_Toc23966_WPSOffice_Level2"/>
      <w:bookmarkStart w:id="106" w:name="_Toc30383_WPSOffice_Level2"/>
      <w:bookmarkStart w:id="107" w:name="_Toc3131_WPSOffice_Level2"/>
      <w:bookmarkStart w:id="108" w:name="_Toc25333_WPSOffice_Level2"/>
      <w:bookmarkStart w:id="109" w:name="_Toc13084_WPSOffice_Level2"/>
      <w:bookmarkStart w:id="110" w:name="_Toc32689_WPSOffice_Level2"/>
      <w:r>
        <w:rPr>
          <w:rFonts w:hint="eastAsia" w:ascii="楷体" w:hAnsi="楷体" w:eastAsia="楷体" w:cs="楷体"/>
          <w:b/>
          <w:sz w:val="32"/>
          <w:szCs w:val="32"/>
        </w:rPr>
        <w:t>（二）政府采购支出情况。</w:t>
      </w:r>
      <w:bookmarkEnd w:id="105"/>
      <w:bookmarkEnd w:id="106"/>
      <w:bookmarkEnd w:id="107"/>
      <w:bookmarkEnd w:id="108"/>
      <w:bookmarkEnd w:id="109"/>
      <w:bookmarkEnd w:id="110"/>
    </w:p>
    <w:p w14:paraId="68427C59">
      <w:pPr>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lang w:eastAsia="zh-CN"/>
          <w14:textFill>
            <w14:solidFill>
              <w14:schemeClr w14:val="tx1"/>
            </w14:solidFill>
          </w14:textFill>
        </w:rPr>
        <w:t>2023</w:t>
      </w:r>
      <w:r>
        <w:rPr>
          <w:rFonts w:hint="eastAsia" w:ascii="仿宋_GB2312" w:hAnsi="ˎ̥" w:eastAsia="仿宋_GB2312" w:cs="Times New Roman"/>
          <w:color w:val="000000" w:themeColor="text1"/>
          <w:sz w:val="32"/>
          <w:szCs w:val="32"/>
          <w14:textFill>
            <w14:solidFill>
              <w14:schemeClr w14:val="tx1"/>
            </w14:solidFill>
          </w14:textFill>
        </w:rPr>
        <w:t>年度三亚市</w:t>
      </w:r>
      <w:bookmarkStart w:id="123" w:name="_GoBack"/>
      <w:bookmarkEnd w:id="123"/>
      <w:r>
        <w:rPr>
          <w:rFonts w:hint="eastAsia" w:ascii="仿宋_GB2312" w:hAnsi="ˎ̥" w:eastAsia="仿宋_GB2312" w:cs="Times New Roman"/>
          <w:color w:val="000000" w:themeColor="text1"/>
          <w:sz w:val="32"/>
          <w:szCs w:val="32"/>
          <w:lang w:eastAsia="zh-CN"/>
          <w14:textFill>
            <w14:solidFill>
              <w14:schemeClr w14:val="tx1"/>
            </w14:solidFill>
          </w14:textFill>
        </w:rPr>
        <w:t>南岛学校</w:t>
      </w:r>
      <w:r>
        <w:rPr>
          <w:rFonts w:hint="eastAsia" w:ascii="仿宋_GB2312" w:hAnsi="ˎ̥" w:eastAsia="仿宋_GB2312" w:cs="Times New Roman"/>
          <w:color w:val="000000" w:themeColor="text1"/>
          <w:sz w:val="32"/>
          <w:szCs w:val="32"/>
          <w14:textFill>
            <w14:solidFill>
              <w14:schemeClr w14:val="tx1"/>
            </w14:solidFill>
          </w14:textFill>
        </w:rPr>
        <w:t>政府采购支出总额</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万元，其中：政府采购货物支出</w:t>
      </w:r>
      <w:r>
        <w:rPr>
          <w:rFonts w:hint="eastAsia" w:ascii="仿宋_GB2312" w:hAnsi="ˎ̥" w:eastAsia="仿宋_GB2312" w:cs="Times New Roman"/>
          <w:color w:val="000000" w:themeColor="text1"/>
          <w:sz w:val="32"/>
          <w:szCs w:val="32"/>
          <w:lang w:val="en-US" w:eastAsia="zh-CN"/>
          <w14:textFill>
            <w14:solidFill>
              <w14:schemeClr w14:val="tx1"/>
            </w14:solidFill>
          </w14:textFill>
        </w:rPr>
        <w:t>0</w:t>
      </w:r>
      <w:r>
        <w:rPr>
          <w:rFonts w:hint="eastAsia" w:ascii="仿宋_GB2312" w:hAnsi="ˎ̥" w:eastAsia="仿宋_GB2312" w:cs="Times New Roman"/>
          <w:color w:val="000000" w:themeColor="text1"/>
          <w:sz w:val="32"/>
          <w:szCs w:val="32"/>
          <w14:textFill>
            <w14:solidFill>
              <w14:schemeClr w14:val="tx1"/>
            </w14:solidFill>
          </w14:textFill>
        </w:rPr>
        <w:t>万元、政府采购工程支出0万元、政府采购服务支出0万元。</w:t>
      </w:r>
    </w:p>
    <w:p w14:paraId="085A8A46">
      <w:pPr>
        <w:ind w:firstLine="643" w:firstLineChars="200"/>
        <w:rPr>
          <w:rFonts w:ascii="楷体" w:hAnsi="楷体" w:eastAsia="楷体" w:cs="楷体"/>
          <w:b/>
          <w:sz w:val="32"/>
          <w:szCs w:val="32"/>
        </w:rPr>
      </w:pPr>
      <w:bookmarkStart w:id="111" w:name="_Toc527_WPSOffice_Level2"/>
      <w:bookmarkStart w:id="112" w:name="_Toc10902_WPSOffice_Level2"/>
      <w:bookmarkStart w:id="113" w:name="_Toc15129_WPSOffice_Level2"/>
      <w:bookmarkStart w:id="114" w:name="_Toc29584_WPSOffice_Level2"/>
      <w:bookmarkStart w:id="115" w:name="_Toc6016_WPSOffice_Level2"/>
      <w:bookmarkStart w:id="116" w:name="_Toc19989_WPSOffice_Level2"/>
      <w:r>
        <w:rPr>
          <w:rFonts w:hint="eastAsia" w:ascii="楷体" w:hAnsi="楷体" w:eastAsia="楷体" w:cs="楷体"/>
          <w:b/>
          <w:sz w:val="32"/>
          <w:szCs w:val="32"/>
        </w:rPr>
        <w:t>（三）国有资产占用情况。</w:t>
      </w:r>
      <w:bookmarkEnd w:id="111"/>
      <w:bookmarkEnd w:id="112"/>
      <w:bookmarkEnd w:id="113"/>
      <w:bookmarkEnd w:id="114"/>
      <w:bookmarkEnd w:id="115"/>
      <w:bookmarkEnd w:id="116"/>
    </w:p>
    <w:p w14:paraId="5B65E80C">
      <w:pPr>
        <w:spacing w:line="578" w:lineRule="exact"/>
        <w:ind w:firstLine="640" w:firstLineChars="200"/>
        <w:rPr>
          <w:rFonts w:ascii="仿宋_GB2312" w:hAnsi="ˎ̥" w:eastAsia="仿宋_GB2312" w:cs="Times New Roman"/>
          <w:color w:val="000000" w:themeColor="text1"/>
          <w:sz w:val="32"/>
          <w:szCs w:val="32"/>
          <w14:textFill>
            <w14:solidFill>
              <w14:schemeClr w14:val="tx1"/>
            </w14:solidFill>
          </w14:textFill>
        </w:rPr>
      </w:pPr>
      <w:r>
        <w:rPr>
          <w:rFonts w:hint="eastAsia" w:ascii="仿宋_GB2312" w:hAnsi="ˎ̥" w:eastAsia="仿宋_GB2312" w:cs="Times New Roman"/>
          <w:color w:val="000000" w:themeColor="text1"/>
          <w:sz w:val="32"/>
          <w:szCs w:val="32"/>
          <w14:textFill>
            <w14:solidFill>
              <w14:schemeClr w14:val="tx1"/>
            </w14:solidFill>
          </w14:textFill>
        </w:rPr>
        <w:t>截至</w:t>
      </w:r>
      <w:r>
        <w:rPr>
          <w:rFonts w:hint="eastAsia" w:ascii="仿宋_GB2312" w:hAnsi="ˎ̥" w:eastAsia="仿宋_GB2312" w:cs="Times New Roman"/>
          <w:color w:val="000000" w:themeColor="text1"/>
          <w:sz w:val="32"/>
          <w:szCs w:val="32"/>
          <w:lang w:eastAsia="zh-CN"/>
          <w14:textFill>
            <w14:solidFill>
              <w14:schemeClr w14:val="tx1"/>
            </w14:solidFill>
          </w14:textFill>
        </w:rPr>
        <w:t>2023</w:t>
      </w:r>
      <w:r>
        <w:rPr>
          <w:rFonts w:hint="eastAsia" w:ascii="仿宋_GB2312" w:hAnsi="ˎ̥" w:eastAsia="仿宋_GB2312" w:cs="Times New Roman"/>
          <w:color w:val="000000" w:themeColor="text1"/>
          <w:sz w:val="32"/>
          <w:szCs w:val="32"/>
          <w14:textFill>
            <w14:solidFill>
              <w14:schemeClr w14:val="tx1"/>
            </w14:solidFill>
          </w14:textFill>
        </w:rPr>
        <w:t>年12月31日，本部门占用房屋面积</w:t>
      </w:r>
      <w:r>
        <w:rPr>
          <w:rFonts w:hint="eastAsia" w:ascii="仿宋_GB2312" w:hAnsi="ˎ̥" w:eastAsia="仿宋_GB2312" w:cs="Times New Roman"/>
          <w:color w:val="000000" w:themeColor="text1"/>
          <w:sz w:val="32"/>
          <w:szCs w:val="32"/>
          <w:lang w:val="en-US" w:eastAsia="zh-CN"/>
          <w14:textFill>
            <w14:solidFill>
              <w14:schemeClr w14:val="tx1"/>
            </w14:solidFill>
          </w14:textFill>
        </w:rPr>
        <w:t>2295.12</w:t>
      </w:r>
      <w:r>
        <w:rPr>
          <w:rFonts w:hint="eastAsia" w:ascii="仿宋_GB2312" w:hAnsi="ˎ̥" w:eastAsia="仿宋_GB2312" w:cs="Times New Roman"/>
          <w:color w:val="000000" w:themeColor="text1"/>
          <w:sz w:val="32"/>
          <w:szCs w:val="32"/>
          <w14:textFill>
            <w14:solidFill>
              <w14:schemeClr w14:val="tx1"/>
            </w14:solidFill>
          </w14:textFill>
        </w:rPr>
        <w:t>平方米，其中：办公用房0平方米，业务用房</w:t>
      </w:r>
      <w:r>
        <w:rPr>
          <w:rFonts w:hint="eastAsia" w:ascii="仿宋_GB2312" w:hAnsi="ˎ̥" w:eastAsia="仿宋_GB2312" w:cs="Times New Roman"/>
          <w:color w:val="000000" w:themeColor="text1"/>
          <w:sz w:val="32"/>
          <w:szCs w:val="32"/>
          <w:lang w:val="en-US" w:eastAsia="zh-CN"/>
          <w14:textFill>
            <w14:solidFill>
              <w14:schemeClr w14:val="tx1"/>
            </w14:solidFill>
          </w14:textFill>
        </w:rPr>
        <w:t>2295.12</w:t>
      </w:r>
      <w:r>
        <w:rPr>
          <w:rFonts w:hint="eastAsia" w:ascii="仿宋_GB2312" w:hAnsi="ˎ̥" w:eastAsia="仿宋_GB2312" w:cs="Times New Roman"/>
          <w:color w:val="000000" w:themeColor="text1"/>
          <w:sz w:val="32"/>
          <w:szCs w:val="32"/>
          <w14:textFill>
            <w14:solidFill>
              <w14:schemeClr w14:val="tx1"/>
            </w14:solidFill>
          </w14:textFill>
        </w:rPr>
        <w:t>平方米，其他（不含构筑物）0平方米。</w:t>
      </w:r>
    </w:p>
    <w:p w14:paraId="6900677F">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37F6C2C9">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单位价值50万元（含）以上通用设备0台（套），单价100万元（含）以上专用设备0台（套）。</w:t>
      </w:r>
    </w:p>
    <w:p w14:paraId="4945913F">
      <w:pPr>
        <w:spacing w:line="578" w:lineRule="exact"/>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年末在建工程0万元。</w:t>
      </w:r>
    </w:p>
    <w:p w14:paraId="5C9BE890">
      <w:pPr>
        <w:jc w:val="center"/>
        <w:rPr>
          <w:rFonts w:ascii="黑体" w:hAnsi="ˎ̥" w:eastAsia="黑体" w:cs="Times New Roman"/>
          <w:sz w:val="32"/>
          <w:szCs w:val="32"/>
        </w:rPr>
      </w:pPr>
      <w:bookmarkStart w:id="117" w:name="_Toc11039_WPSOffice_Level1"/>
      <w:bookmarkStart w:id="118" w:name="_Toc8874_WPSOffice_Level1"/>
      <w:bookmarkStart w:id="119" w:name="_Toc8808_WPSOffice_Level1"/>
      <w:bookmarkStart w:id="120" w:name="_Toc17580_WPSOffice_Level1"/>
      <w:bookmarkStart w:id="121" w:name="_Toc4398_WPSOffice_Level1"/>
      <w:bookmarkStart w:id="122" w:name="_Toc15425_WPSOffice_Level1"/>
      <w:r>
        <w:rPr>
          <w:rFonts w:hint="eastAsia" w:ascii="黑体" w:hAnsi="ˎ̥" w:eastAsia="黑体" w:cs="Times New Roman"/>
          <w:sz w:val="32"/>
          <w:szCs w:val="32"/>
        </w:rPr>
        <w:t>第四部分  名词解释</w:t>
      </w:r>
      <w:bookmarkEnd w:id="117"/>
      <w:bookmarkEnd w:id="118"/>
      <w:bookmarkEnd w:id="119"/>
      <w:bookmarkEnd w:id="120"/>
      <w:bookmarkEnd w:id="121"/>
      <w:bookmarkEnd w:id="122"/>
    </w:p>
    <w:p w14:paraId="27BDA582">
      <w:pPr>
        <w:jc w:val="center"/>
        <w:rPr>
          <w:rFonts w:ascii="黑体" w:hAnsi="ˎ̥" w:eastAsia="黑体" w:cs="Times New Roman"/>
          <w:sz w:val="32"/>
          <w:szCs w:val="32"/>
        </w:rPr>
      </w:pPr>
    </w:p>
    <w:p w14:paraId="6C59AC3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一、财政拨款收入：指本级财政当年拨付的资金。</w:t>
      </w:r>
    </w:p>
    <w:p w14:paraId="4770B810">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二、事业收入：指事业单位开展专业业务活动及辅助活动取得的收入。</w:t>
      </w:r>
    </w:p>
    <w:p w14:paraId="2CC515A9">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三、经营收入：指事业单位在专业业务活动及其辅助活动之外开展非独立核算经营活动取得的收入。</w:t>
      </w:r>
    </w:p>
    <w:p w14:paraId="68A0D2E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四、其他收入：指除上述“财政拨款收入”“事业收入”“经营收入”等以外的收入。</w:t>
      </w:r>
    </w:p>
    <w:p w14:paraId="7D00F3B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0A54283D">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六、年初结转和结余：指以前年度尚未完成、结转到本年按有关规定继续使用的资金。</w:t>
      </w:r>
    </w:p>
    <w:p w14:paraId="7EB80F2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七、结余分配：指事业单位按规定提取的职工福利基金、事业基金和缴纳的所得税，以及建设单位按规定应交回的基本建设竣工项目结余资金。</w:t>
      </w:r>
    </w:p>
    <w:p w14:paraId="7246E27F">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八、年末结转和结余：指本年度或以前年度预算安排、因客观条件发生变化无法按原计划实施，需要延迟到以后年度按有关规定继续使用的资金。</w:t>
      </w:r>
    </w:p>
    <w:p w14:paraId="080D67A7">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九、基本支出：指为保障机构正常运转、完成日常工作任务而发生的人员支出和公用支出。</w:t>
      </w:r>
    </w:p>
    <w:p w14:paraId="4E36B576">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十、项目支出：指在基本支出之外为完成特定行政任务和事业发展目标所发生的支出。</w:t>
      </w:r>
    </w:p>
    <w:p w14:paraId="16B4FEF3">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十一、经营支出：指事业单位在专业业务活动及其辅助活动之外开展非独立核算经营活动发生的支出。</w:t>
      </w:r>
    </w:p>
    <w:p w14:paraId="5DB923BB">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58D3440C">
      <w:pPr>
        <w:ind w:firstLine="640" w:firstLineChars="200"/>
        <w:rPr>
          <w:rFonts w:ascii="仿宋_GB2312" w:hAnsi="ˎ̥" w:eastAsia="仿宋_GB2312" w:cs="Times New Roman"/>
          <w:sz w:val="32"/>
          <w:szCs w:val="32"/>
        </w:rPr>
      </w:pPr>
      <w:r>
        <w:rPr>
          <w:rFonts w:hint="eastAsia" w:ascii="仿宋_GB2312" w:hAnsi="ˎ̥" w:eastAsia="仿宋_GB2312" w:cs="Times New Roman"/>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9B75712"/>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 w:name="Franklin Gothic Medium">
    <w:panose1 w:val="020B0603020102020204"/>
    <w:charset w:val="00"/>
    <w:family w:val="auto"/>
    <w:pitch w:val="default"/>
    <w:sig w:usb0="00000287" w:usb1="00000000" w:usb2="00000000" w:usb3="00000000" w:csb0="2000009F" w:csb1="DFD7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FD1E7">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6</w:t>
    </w:r>
    <w:r>
      <w:fldChar w:fldCharType="end"/>
    </w:r>
  </w:p>
  <w:p w14:paraId="4CC62CBD">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F5ECF">
    <w:pPr>
      <w:pStyle w:val="2"/>
      <w:framePr w:wrap="around" w:vAnchor="text" w:hAnchor="margin" w:xAlign="center" w:y="1"/>
      <w:rPr>
        <w:rStyle w:val="6"/>
      </w:rPr>
    </w:pPr>
    <w:r>
      <w:fldChar w:fldCharType="begin"/>
    </w:r>
    <w:r>
      <w:rPr>
        <w:rStyle w:val="6"/>
      </w:rPr>
      <w:instrText xml:space="preserve">PAGE  </w:instrText>
    </w:r>
    <w:r>
      <w:fldChar w:fldCharType="end"/>
    </w:r>
  </w:p>
  <w:p w14:paraId="05ADA7A4">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86A44"/>
    <w:multiLevelType w:val="singleLevel"/>
    <w:tmpl w:val="91A86A44"/>
    <w:lvl w:ilvl="0" w:tentative="0">
      <w:start w:val="2"/>
      <w:numFmt w:val="chineseCounting"/>
      <w:suff w:val="nothing"/>
      <w:lvlText w:val="（%1）"/>
      <w:lvlJc w:val="left"/>
      <w:rPr>
        <w:rFonts w:hint="eastAsia"/>
      </w:rPr>
    </w:lvl>
  </w:abstractNum>
  <w:abstractNum w:abstractNumId="1">
    <w:nsid w:val="62DEB672"/>
    <w:multiLevelType w:val="singleLevel"/>
    <w:tmpl w:val="62DEB672"/>
    <w:lvl w:ilvl="0" w:tentative="0">
      <w:start w:val="1"/>
      <w:numFmt w:val="chineseCounting"/>
      <w:suff w:val="nothing"/>
      <w:lvlText w:val="%1、"/>
      <w:lvlJc w:val="left"/>
      <w:rPr>
        <w:rFonts w:hint="eastAsia"/>
        <w:color w:val="000000" w:themeColor="text1"/>
        <w14:textFill>
          <w14:solidFill>
            <w14:schemeClr w14:val="tx1"/>
          </w14:solidFill>
        </w14:textFill>
      </w:r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mYmJhMGJkZWRiOTI3MDNmZTQ5NjU1MjdkNDQ3ZGEifQ=="/>
  </w:docVars>
  <w:rsids>
    <w:rsidRoot w:val="00D32ACE"/>
    <w:rsid w:val="000121A9"/>
    <w:rsid w:val="000819F9"/>
    <w:rsid w:val="000C0FC3"/>
    <w:rsid w:val="000C3289"/>
    <w:rsid w:val="00165BA4"/>
    <w:rsid w:val="001A7613"/>
    <w:rsid w:val="001B54A0"/>
    <w:rsid w:val="002102AF"/>
    <w:rsid w:val="00240B5C"/>
    <w:rsid w:val="00243D65"/>
    <w:rsid w:val="002F2B57"/>
    <w:rsid w:val="00345463"/>
    <w:rsid w:val="003528F1"/>
    <w:rsid w:val="003F0D1A"/>
    <w:rsid w:val="00457F19"/>
    <w:rsid w:val="0047528A"/>
    <w:rsid w:val="004923AD"/>
    <w:rsid w:val="004A5298"/>
    <w:rsid w:val="004B343D"/>
    <w:rsid w:val="004D0B4C"/>
    <w:rsid w:val="00510FB7"/>
    <w:rsid w:val="00527033"/>
    <w:rsid w:val="00574D29"/>
    <w:rsid w:val="005E4604"/>
    <w:rsid w:val="005E4790"/>
    <w:rsid w:val="005E5712"/>
    <w:rsid w:val="00617E25"/>
    <w:rsid w:val="006E30C2"/>
    <w:rsid w:val="006F2EC3"/>
    <w:rsid w:val="00780C83"/>
    <w:rsid w:val="007876F5"/>
    <w:rsid w:val="00852EE6"/>
    <w:rsid w:val="00877D96"/>
    <w:rsid w:val="00880C2C"/>
    <w:rsid w:val="008D3791"/>
    <w:rsid w:val="00914ABF"/>
    <w:rsid w:val="009213AB"/>
    <w:rsid w:val="00930AC0"/>
    <w:rsid w:val="00943DE7"/>
    <w:rsid w:val="00954A09"/>
    <w:rsid w:val="0096011F"/>
    <w:rsid w:val="009C68E4"/>
    <w:rsid w:val="009E6620"/>
    <w:rsid w:val="00A062C9"/>
    <w:rsid w:val="00A133CD"/>
    <w:rsid w:val="00A20588"/>
    <w:rsid w:val="00A44290"/>
    <w:rsid w:val="00A47069"/>
    <w:rsid w:val="00A54072"/>
    <w:rsid w:val="00A92FC5"/>
    <w:rsid w:val="00AF1C32"/>
    <w:rsid w:val="00B512BF"/>
    <w:rsid w:val="00B57416"/>
    <w:rsid w:val="00C01B66"/>
    <w:rsid w:val="00C3564D"/>
    <w:rsid w:val="00CD5803"/>
    <w:rsid w:val="00CF76E7"/>
    <w:rsid w:val="00D16F7B"/>
    <w:rsid w:val="00D30F7F"/>
    <w:rsid w:val="00D32ACE"/>
    <w:rsid w:val="00DB6ECB"/>
    <w:rsid w:val="00DD0AC5"/>
    <w:rsid w:val="00E23916"/>
    <w:rsid w:val="00E60416"/>
    <w:rsid w:val="00EC1A2B"/>
    <w:rsid w:val="00F054C6"/>
    <w:rsid w:val="00F11B99"/>
    <w:rsid w:val="00F12AB2"/>
    <w:rsid w:val="00F93E07"/>
    <w:rsid w:val="00FC402A"/>
    <w:rsid w:val="01366C30"/>
    <w:rsid w:val="02263013"/>
    <w:rsid w:val="03E63D04"/>
    <w:rsid w:val="04807AAD"/>
    <w:rsid w:val="050E7CD6"/>
    <w:rsid w:val="05E6585C"/>
    <w:rsid w:val="086B6200"/>
    <w:rsid w:val="091B5ECD"/>
    <w:rsid w:val="09C70460"/>
    <w:rsid w:val="0A31526B"/>
    <w:rsid w:val="0AB26AC6"/>
    <w:rsid w:val="0C6F2338"/>
    <w:rsid w:val="12261B29"/>
    <w:rsid w:val="132C0D0F"/>
    <w:rsid w:val="145D76A0"/>
    <w:rsid w:val="14D918C2"/>
    <w:rsid w:val="167A7865"/>
    <w:rsid w:val="17124C72"/>
    <w:rsid w:val="18CB759E"/>
    <w:rsid w:val="19681ACB"/>
    <w:rsid w:val="1A7A7A8A"/>
    <w:rsid w:val="1B08268A"/>
    <w:rsid w:val="1B084650"/>
    <w:rsid w:val="1C4F2A0E"/>
    <w:rsid w:val="1D32733A"/>
    <w:rsid w:val="1D686ACF"/>
    <w:rsid w:val="1DA67191"/>
    <w:rsid w:val="1DCB4F1E"/>
    <w:rsid w:val="1E3E4F0A"/>
    <w:rsid w:val="1F367AAF"/>
    <w:rsid w:val="1F756581"/>
    <w:rsid w:val="20E36D41"/>
    <w:rsid w:val="210461B3"/>
    <w:rsid w:val="217E546F"/>
    <w:rsid w:val="226E6B43"/>
    <w:rsid w:val="22C20BF1"/>
    <w:rsid w:val="22C34C3D"/>
    <w:rsid w:val="242B4E3C"/>
    <w:rsid w:val="2520562A"/>
    <w:rsid w:val="25473008"/>
    <w:rsid w:val="2562714D"/>
    <w:rsid w:val="258D4B21"/>
    <w:rsid w:val="25BA09E5"/>
    <w:rsid w:val="25D0124F"/>
    <w:rsid w:val="26510172"/>
    <w:rsid w:val="266920FB"/>
    <w:rsid w:val="27E16118"/>
    <w:rsid w:val="28091E43"/>
    <w:rsid w:val="28EB477E"/>
    <w:rsid w:val="29631AF9"/>
    <w:rsid w:val="2AC82E3D"/>
    <w:rsid w:val="2B06080A"/>
    <w:rsid w:val="2B6956EE"/>
    <w:rsid w:val="2D9C2CE2"/>
    <w:rsid w:val="2E007A1F"/>
    <w:rsid w:val="2F441FA2"/>
    <w:rsid w:val="2F7F4E2C"/>
    <w:rsid w:val="30776C11"/>
    <w:rsid w:val="319F04F9"/>
    <w:rsid w:val="32D570E6"/>
    <w:rsid w:val="33D87813"/>
    <w:rsid w:val="34EA2D09"/>
    <w:rsid w:val="357021CB"/>
    <w:rsid w:val="37F25055"/>
    <w:rsid w:val="39092567"/>
    <w:rsid w:val="39981863"/>
    <w:rsid w:val="39AD76D2"/>
    <w:rsid w:val="39E133A5"/>
    <w:rsid w:val="3A127621"/>
    <w:rsid w:val="3A981EFF"/>
    <w:rsid w:val="3B58735D"/>
    <w:rsid w:val="3B8A76E5"/>
    <w:rsid w:val="3C896EFE"/>
    <w:rsid w:val="3D9D05CF"/>
    <w:rsid w:val="3E734EFE"/>
    <w:rsid w:val="418807D8"/>
    <w:rsid w:val="41D43A1D"/>
    <w:rsid w:val="42636414"/>
    <w:rsid w:val="42982C27"/>
    <w:rsid w:val="429C3483"/>
    <w:rsid w:val="43F85575"/>
    <w:rsid w:val="4439397F"/>
    <w:rsid w:val="44F54D66"/>
    <w:rsid w:val="4703102D"/>
    <w:rsid w:val="4705491E"/>
    <w:rsid w:val="47870662"/>
    <w:rsid w:val="47962D78"/>
    <w:rsid w:val="47CA4F7D"/>
    <w:rsid w:val="482A4397"/>
    <w:rsid w:val="49255820"/>
    <w:rsid w:val="4A1701F0"/>
    <w:rsid w:val="4BFE59DC"/>
    <w:rsid w:val="4C920D4B"/>
    <w:rsid w:val="4DF3237F"/>
    <w:rsid w:val="4F254CA1"/>
    <w:rsid w:val="50636B18"/>
    <w:rsid w:val="53A92F5C"/>
    <w:rsid w:val="54210ABC"/>
    <w:rsid w:val="55CE46B5"/>
    <w:rsid w:val="55F5398B"/>
    <w:rsid w:val="55F8457D"/>
    <w:rsid w:val="56AC767D"/>
    <w:rsid w:val="57772B84"/>
    <w:rsid w:val="58067E17"/>
    <w:rsid w:val="596235EA"/>
    <w:rsid w:val="59A6256F"/>
    <w:rsid w:val="59EC62F0"/>
    <w:rsid w:val="5AA2763D"/>
    <w:rsid w:val="5C292E8C"/>
    <w:rsid w:val="5CCB4073"/>
    <w:rsid w:val="5D200291"/>
    <w:rsid w:val="5D8331B0"/>
    <w:rsid w:val="5DC12CED"/>
    <w:rsid w:val="5DCA244C"/>
    <w:rsid w:val="5DE34B5D"/>
    <w:rsid w:val="5E9E34B4"/>
    <w:rsid w:val="5EAF1A30"/>
    <w:rsid w:val="5ECD1A47"/>
    <w:rsid w:val="5EEC4E6D"/>
    <w:rsid w:val="656C5B97"/>
    <w:rsid w:val="65CE6852"/>
    <w:rsid w:val="6730746C"/>
    <w:rsid w:val="68F62348"/>
    <w:rsid w:val="693B6868"/>
    <w:rsid w:val="69DD7064"/>
    <w:rsid w:val="69DE0801"/>
    <w:rsid w:val="6A170CCD"/>
    <w:rsid w:val="6A22372A"/>
    <w:rsid w:val="6A4C7EF2"/>
    <w:rsid w:val="6AF82C05"/>
    <w:rsid w:val="6B675C3C"/>
    <w:rsid w:val="6BAF4A30"/>
    <w:rsid w:val="6E340F38"/>
    <w:rsid w:val="6F40400A"/>
    <w:rsid w:val="70382752"/>
    <w:rsid w:val="70AA07D0"/>
    <w:rsid w:val="71832F8D"/>
    <w:rsid w:val="719D784E"/>
    <w:rsid w:val="720B1B57"/>
    <w:rsid w:val="750254F7"/>
    <w:rsid w:val="75162ADD"/>
    <w:rsid w:val="753F4E19"/>
    <w:rsid w:val="754D5B45"/>
    <w:rsid w:val="75BA46FD"/>
    <w:rsid w:val="75EF7DDE"/>
    <w:rsid w:val="76286D4A"/>
    <w:rsid w:val="764D0FCD"/>
    <w:rsid w:val="76BB697E"/>
    <w:rsid w:val="770D1A50"/>
    <w:rsid w:val="777C3B73"/>
    <w:rsid w:val="77826107"/>
    <w:rsid w:val="77E139D3"/>
    <w:rsid w:val="780C50C4"/>
    <w:rsid w:val="795B5845"/>
    <w:rsid w:val="79A0064C"/>
    <w:rsid w:val="79F907CF"/>
    <w:rsid w:val="7A3C0572"/>
    <w:rsid w:val="7AA826F4"/>
    <w:rsid w:val="7AD503D1"/>
    <w:rsid w:val="7B7C3913"/>
    <w:rsid w:val="7C12098E"/>
    <w:rsid w:val="7CB17BE3"/>
    <w:rsid w:val="7D7A70F4"/>
    <w:rsid w:val="7E3C65F7"/>
    <w:rsid w:val="7ED93811"/>
    <w:rsid w:val="7F9F50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列出段落1"/>
    <w:basedOn w:val="1"/>
    <w:qFormat/>
    <w:uiPriority w:val="34"/>
    <w:pPr>
      <w:ind w:firstLine="420" w:firstLineChars="200"/>
    </w:pPr>
  </w:style>
  <w:style w:type="paragraph" w:customStyle="1" w:styleId="10">
    <w:name w:val="列出段落1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5468</Words>
  <Characters>5937</Characters>
  <Lines>54</Lines>
  <Paragraphs>15</Paragraphs>
  <TotalTime>2</TotalTime>
  <ScaleCrop>false</ScaleCrop>
  <LinksUpToDate>false</LinksUpToDate>
  <CharactersWithSpaces>6048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asus</dc:creator>
  <cp:lastModifiedBy>后尘</cp:lastModifiedBy>
  <dcterms:modified xsi:type="dcterms:W3CDTF">2024-10-16T13:49:12Z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81B60A46020D4043AF4CE17566B0822E_13</vt:lpwstr>
  </property>
</Properties>
</file>