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3F55AA3">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val="en-US" w:eastAsia="zh-CN"/>
        </w:rPr>
        <w:t>第八幼儿园</w:t>
      </w:r>
      <w:r>
        <w:rPr>
          <w:rFonts w:hint="eastAsia" w:ascii="黑体" w:hAnsi="ˎ̥" w:eastAsia="黑体" w:cs="Times New Roman"/>
          <w:sz w:val="44"/>
          <w:szCs w:val="44"/>
        </w:rPr>
        <w:t>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14:paraId="192E77BC">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3B422DC9">
      <w:pPr>
        <w:jc w:val="center"/>
        <w:rPr>
          <w:rFonts w:ascii="黑体" w:hAnsi="ˎ̥" w:eastAsia="黑体" w:cs="Times New Roman"/>
          <w:b/>
          <w:sz w:val="32"/>
          <w:szCs w:val="32"/>
        </w:rPr>
      </w:pPr>
    </w:p>
    <w:p w14:paraId="26D0E1DE">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4D133359">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val="en-US" w:eastAsia="zh-CN"/>
        </w:rPr>
        <w:t>第八幼儿园</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42A7DBF2">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A637A71">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D416067">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val="en-US" w:eastAsia="zh-CN"/>
        </w:rPr>
        <w:t>第八幼儿园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514C5844">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黑体" w:eastAsia="黑体" w:cs="Times New Roman"/>
          <w:kern w:val="0"/>
          <w:sz w:val="32"/>
          <w:szCs w:val="32"/>
          <w:lang w:val="en-US" w:eastAsia="zh-CN"/>
        </w:rPr>
        <w:t>第八</w:t>
      </w:r>
      <w:r>
        <w:rPr>
          <w:rFonts w:hint="eastAsia" w:ascii="黑体" w:hAnsi="ˎ̥" w:eastAsia="黑体" w:cs="Times New Roman"/>
          <w:kern w:val="0"/>
          <w:sz w:val="32"/>
          <w:szCs w:val="32"/>
          <w:lang w:val="en-US" w:eastAsia="zh-CN"/>
        </w:rPr>
        <w:t>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6A6F18C5">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11D74A3F">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29FC42B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15F0CA1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7996FB1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fldChar w:fldCharType="end"/>
      </w:r>
    </w:p>
    <w:p w14:paraId="681F3E52">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19F1A66A">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7</w:t>
      </w:r>
    </w:p>
    <w:p w14:paraId="79C90B73">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05471F5C">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6AE1F0E0">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1B6A9C58">
      <w:pPr>
        <w:widowControl/>
        <w:tabs>
          <w:tab w:val="right" w:leader="dot" w:pos="8306"/>
        </w:tabs>
        <w:jc w:val="left"/>
        <w:rPr>
          <w:rFonts w:hint="eastAsia" w:ascii="仿宋" w:hAnsi="仿宋" w:eastAsia="仿宋" w:cs="仿宋"/>
          <w:kern w:val="0"/>
          <w:sz w:val="32"/>
          <w:szCs w:val="32"/>
          <w:highlight w:val="none"/>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highlight w:val="none"/>
          <w:lang w:val="en-US" w:eastAsia="zh-CN"/>
        </w:rPr>
        <w:t>9</w:t>
      </w:r>
    </w:p>
    <w:p w14:paraId="2B9E5845">
      <w:pPr>
        <w:widowControl/>
        <w:tabs>
          <w:tab w:val="right" w:leader="dot" w:pos="8306"/>
        </w:tabs>
        <w:jc w:val="left"/>
        <w:rPr>
          <w:rFonts w:hint="default" w:ascii="Times New Roman" w:hAnsi="Times New Roman" w:eastAsia="宋体" w:cs="Times New Roman"/>
          <w:kern w:val="0"/>
          <w:sz w:val="32"/>
          <w:szCs w:val="32"/>
          <w:highlight w:val="none"/>
          <w:lang w:val="en-US" w:eastAsia="zh-CN"/>
        </w:rPr>
      </w:pPr>
      <w:r>
        <w:rPr>
          <w:rFonts w:hint="eastAsia" w:ascii="仿宋" w:hAnsi="仿宋" w:eastAsia="仿宋" w:cs="仿宋"/>
          <w:bCs/>
          <w:kern w:val="0"/>
          <w:sz w:val="32"/>
          <w:szCs w:val="32"/>
          <w:highlight w:val="none"/>
        </w:rPr>
        <w:t>十</w:t>
      </w:r>
      <w:r>
        <w:rPr>
          <w:rFonts w:hint="eastAsia" w:ascii="仿宋" w:hAnsi="仿宋" w:eastAsia="仿宋" w:cs="仿宋"/>
          <w:bCs/>
          <w:kern w:val="0"/>
          <w:sz w:val="32"/>
          <w:szCs w:val="32"/>
          <w:highlight w:val="none"/>
          <w:lang w:val="en-US" w:eastAsia="zh-CN"/>
        </w:rPr>
        <w:t>一</w:t>
      </w:r>
      <w:r>
        <w:rPr>
          <w:rFonts w:hint="eastAsia" w:ascii="仿宋" w:hAnsi="仿宋" w:eastAsia="仿宋" w:cs="仿宋"/>
          <w:bCs/>
          <w:kern w:val="0"/>
          <w:sz w:val="32"/>
          <w:szCs w:val="32"/>
          <w:highlight w:val="none"/>
        </w:rPr>
        <w:t>、其他重要事项情况说明</w:t>
      </w:r>
      <w:r>
        <w:rPr>
          <w:rFonts w:hint="eastAsia" w:ascii="仿宋" w:hAnsi="仿宋" w:eastAsia="仿宋" w:cs="仿宋"/>
          <w:kern w:val="0"/>
          <w:sz w:val="32"/>
          <w:szCs w:val="32"/>
          <w:highlight w:val="none"/>
        </w:rPr>
        <w:tab/>
      </w:r>
      <w:r>
        <w:rPr>
          <w:rFonts w:hint="eastAsia" w:ascii="仿宋" w:hAnsi="仿宋" w:eastAsia="仿宋" w:cs="仿宋"/>
          <w:kern w:val="0"/>
          <w:sz w:val="32"/>
          <w:szCs w:val="32"/>
          <w:highlight w:val="none"/>
          <w:lang w:val="en-US" w:eastAsia="zh-CN"/>
        </w:rPr>
        <w:t>10</w:t>
      </w:r>
      <w:bookmarkEnd w:id="0"/>
    </w:p>
    <w:p w14:paraId="63C4759F">
      <w:pPr>
        <w:widowControl/>
        <w:tabs>
          <w:tab w:val="right" w:leader="dot" w:pos="8306"/>
        </w:tabs>
        <w:jc w:val="left"/>
        <w:rPr>
          <w:rFonts w:hint="eastAsia" w:ascii="Times New Roman" w:hAnsi="Times New Roman" w:eastAsia="宋体"/>
          <w:kern w:val="0"/>
          <w:sz w:val="32"/>
          <w:szCs w:val="32"/>
          <w:lang w:eastAsia="zh-CN"/>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r>
        <w:rPr>
          <w:rFonts w:hint="eastAsia" w:ascii="Times New Roman" w:hAnsi="Times New Roman"/>
          <w:kern w:val="0"/>
          <w:sz w:val="32"/>
          <w:szCs w:val="32"/>
          <w:lang w:val="en-US" w:eastAsia="zh-CN"/>
        </w:rPr>
        <w:t>1</w:t>
      </w:r>
    </w:p>
    <w:p w14:paraId="16BEFA43">
      <w:pPr>
        <w:jc w:val="left"/>
        <w:rPr>
          <w:rFonts w:ascii="黑体" w:hAnsi="黑体" w:eastAsia="黑体" w:cs="黑体"/>
          <w:sz w:val="32"/>
          <w:szCs w:val="32"/>
        </w:rPr>
      </w:pPr>
    </w:p>
    <w:p w14:paraId="512DE379">
      <w:pPr>
        <w:jc w:val="center"/>
        <w:rPr>
          <w:rFonts w:ascii="黑体" w:hAnsi="ˎ̥" w:eastAsia="黑体" w:cs="Times New Roman"/>
          <w:b/>
          <w:sz w:val="32"/>
          <w:szCs w:val="32"/>
        </w:rPr>
      </w:pPr>
    </w:p>
    <w:p w14:paraId="286D3FCE">
      <w:pPr>
        <w:jc w:val="center"/>
        <w:rPr>
          <w:rFonts w:ascii="黑体" w:hAnsi="ˎ̥" w:eastAsia="黑体" w:cs="Times New Roman"/>
          <w:b/>
          <w:sz w:val="32"/>
          <w:szCs w:val="32"/>
        </w:rPr>
      </w:pPr>
    </w:p>
    <w:p w14:paraId="5E1FBED5">
      <w:pPr>
        <w:jc w:val="center"/>
        <w:rPr>
          <w:rFonts w:ascii="黑体" w:hAnsi="ˎ̥" w:eastAsia="黑体" w:cs="Times New Roman"/>
          <w:b/>
          <w:sz w:val="32"/>
          <w:szCs w:val="32"/>
        </w:rPr>
      </w:pPr>
    </w:p>
    <w:p w14:paraId="1E3D2297">
      <w:pPr>
        <w:jc w:val="center"/>
        <w:rPr>
          <w:rFonts w:ascii="黑体" w:hAnsi="ˎ̥" w:eastAsia="黑体" w:cs="Times New Roman"/>
          <w:b/>
          <w:sz w:val="32"/>
          <w:szCs w:val="32"/>
        </w:rPr>
      </w:pPr>
    </w:p>
    <w:p w14:paraId="75065EE6">
      <w:pPr>
        <w:jc w:val="center"/>
        <w:rPr>
          <w:rFonts w:ascii="黑体" w:hAnsi="ˎ̥" w:eastAsia="黑体" w:cs="Times New Roman"/>
          <w:b/>
          <w:sz w:val="32"/>
          <w:szCs w:val="32"/>
        </w:rPr>
      </w:pPr>
    </w:p>
    <w:p w14:paraId="321A0CCB">
      <w:pPr>
        <w:jc w:val="center"/>
        <w:rPr>
          <w:rFonts w:ascii="黑体" w:hAnsi="ˎ̥" w:eastAsia="黑体" w:cs="Times New Roman"/>
          <w:b/>
          <w:sz w:val="32"/>
          <w:szCs w:val="32"/>
        </w:rPr>
      </w:pPr>
    </w:p>
    <w:p w14:paraId="6796DA0F">
      <w:pPr>
        <w:jc w:val="center"/>
        <w:rPr>
          <w:rFonts w:ascii="黑体" w:hAnsi="ˎ̥" w:eastAsia="黑体" w:cs="Times New Roman"/>
          <w:b/>
          <w:sz w:val="32"/>
          <w:szCs w:val="32"/>
        </w:rPr>
      </w:pPr>
    </w:p>
    <w:p w14:paraId="49E95C66">
      <w:pPr>
        <w:jc w:val="center"/>
        <w:rPr>
          <w:rFonts w:ascii="黑体" w:hAnsi="ˎ̥" w:eastAsia="黑体" w:cs="Times New Roman"/>
          <w:b/>
          <w:sz w:val="32"/>
          <w:szCs w:val="32"/>
        </w:rPr>
      </w:pPr>
    </w:p>
    <w:p w14:paraId="1908D997">
      <w:pPr>
        <w:jc w:val="center"/>
        <w:rPr>
          <w:rFonts w:ascii="黑体" w:hAnsi="ˎ̥" w:eastAsia="黑体" w:cs="Times New Roman"/>
          <w:b/>
          <w:sz w:val="32"/>
          <w:szCs w:val="32"/>
        </w:rPr>
      </w:pPr>
    </w:p>
    <w:p w14:paraId="459986FD">
      <w:pPr>
        <w:jc w:val="center"/>
        <w:rPr>
          <w:rFonts w:ascii="黑体" w:hAnsi="ˎ̥" w:eastAsia="黑体" w:cs="Times New Roman"/>
          <w:b/>
          <w:sz w:val="32"/>
          <w:szCs w:val="32"/>
        </w:rPr>
      </w:pPr>
    </w:p>
    <w:p w14:paraId="4CCDFCCE">
      <w:pPr>
        <w:jc w:val="center"/>
        <w:rPr>
          <w:rFonts w:ascii="黑体" w:hAnsi="ˎ̥" w:eastAsia="黑体" w:cs="Times New Roman"/>
          <w:b/>
          <w:sz w:val="32"/>
          <w:szCs w:val="32"/>
        </w:rPr>
      </w:pPr>
    </w:p>
    <w:p w14:paraId="56FCEFAE">
      <w:pPr>
        <w:jc w:val="center"/>
        <w:rPr>
          <w:rFonts w:ascii="黑体" w:hAnsi="ˎ̥" w:eastAsia="黑体" w:cs="Times New Roman"/>
          <w:b/>
          <w:sz w:val="32"/>
          <w:szCs w:val="32"/>
        </w:rPr>
      </w:pPr>
    </w:p>
    <w:p w14:paraId="59242150">
      <w:pPr>
        <w:jc w:val="center"/>
        <w:rPr>
          <w:rFonts w:ascii="黑体" w:hAnsi="ˎ̥" w:eastAsia="黑体" w:cs="Times New Roman"/>
          <w:b/>
          <w:sz w:val="32"/>
          <w:szCs w:val="32"/>
        </w:rPr>
      </w:pPr>
    </w:p>
    <w:p w14:paraId="0448C6EB">
      <w:pPr>
        <w:jc w:val="center"/>
        <w:rPr>
          <w:rFonts w:ascii="黑体" w:hAnsi="ˎ̥" w:eastAsia="黑体" w:cs="Times New Roman"/>
          <w:b/>
          <w:sz w:val="32"/>
          <w:szCs w:val="32"/>
        </w:rPr>
      </w:pPr>
    </w:p>
    <w:p w14:paraId="04F509BC">
      <w:pPr>
        <w:jc w:val="center"/>
        <w:rPr>
          <w:rFonts w:ascii="黑体" w:hAnsi="ˎ̥" w:eastAsia="黑体" w:cs="Times New Roman"/>
          <w:b/>
          <w:sz w:val="32"/>
          <w:szCs w:val="32"/>
        </w:rPr>
      </w:pPr>
    </w:p>
    <w:p w14:paraId="5E2EB06D">
      <w:pPr>
        <w:jc w:val="center"/>
        <w:rPr>
          <w:rFonts w:ascii="黑体" w:hAnsi="ˎ̥" w:eastAsia="黑体" w:cs="Times New Roman"/>
          <w:b/>
          <w:sz w:val="32"/>
          <w:szCs w:val="32"/>
        </w:rPr>
      </w:pPr>
    </w:p>
    <w:p w14:paraId="6769A730">
      <w:pPr>
        <w:jc w:val="center"/>
        <w:rPr>
          <w:rFonts w:ascii="黑体" w:hAnsi="ˎ̥" w:eastAsia="黑体" w:cs="Times New Roman"/>
          <w:b/>
          <w:sz w:val="32"/>
          <w:szCs w:val="32"/>
        </w:rPr>
      </w:pPr>
    </w:p>
    <w:p w14:paraId="63808D5A">
      <w:pPr>
        <w:jc w:val="center"/>
        <w:rPr>
          <w:rFonts w:ascii="黑体" w:hAnsi="ˎ̥" w:eastAsia="黑体" w:cs="Times New Roman"/>
          <w:b/>
          <w:sz w:val="32"/>
          <w:szCs w:val="32"/>
        </w:rPr>
      </w:pPr>
    </w:p>
    <w:p w14:paraId="15D0D748">
      <w:pPr>
        <w:jc w:val="both"/>
        <w:rPr>
          <w:rFonts w:ascii="黑体" w:hAnsi="ˎ̥" w:eastAsia="黑体" w:cs="Times New Roman"/>
          <w:b/>
          <w:sz w:val="32"/>
          <w:szCs w:val="32"/>
        </w:rPr>
      </w:pPr>
    </w:p>
    <w:p w14:paraId="5AAE4BB6">
      <w:pPr>
        <w:jc w:val="center"/>
        <w:rPr>
          <w:rFonts w:ascii="楷体" w:hAnsi="楷体" w:eastAsia="楷体" w:cs="楷体"/>
          <w:sz w:val="32"/>
          <w:szCs w:val="32"/>
        </w:rPr>
      </w:pPr>
      <w:bookmarkStart w:id="2" w:name="_Toc10049_WPSOffice_Level1"/>
      <w:bookmarkStart w:id="3" w:name="_Toc1704_WPSOffice_Level1"/>
      <w:bookmarkStart w:id="4" w:name="_Toc23465_WPSOffice_Level1"/>
      <w:bookmarkStart w:id="5" w:name="_Toc22941_WPSOffice_Level1"/>
      <w:bookmarkStart w:id="6" w:name="_Toc32433_WPSOffice_Level1"/>
      <w:bookmarkStart w:id="7" w:name="_Toc10720_WPSOffice_Level1"/>
      <w:bookmarkStart w:id="8" w:name="_Toc24238_WPSOffice_Level2"/>
      <w:bookmarkStart w:id="9" w:name="_Toc14159_WPSOffice_Level2"/>
      <w:bookmarkStart w:id="10" w:name="_Toc26580_WPSOffice_Level2"/>
      <w:bookmarkStart w:id="11" w:name="_Toc20205_WPSOffice_Level2"/>
      <w:bookmarkStart w:id="12" w:name="_Toc32622_WPSOffice_Level2"/>
      <w:bookmarkStart w:id="13" w:name="_Toc20274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val="en-US" w:eastAsia="zh-CN"/>
        </w:rPr>
        <w:t>第八幼儿园</w:t>
      </w:r>
      <w:r>
        <w:rPr>
          <w:rFonts w:hint="eastAsia" w:ascii="黑体" w:hAnsi="ˎ̥" w:eastAsia="黑体" w:cs="Times New Roman"/>
          <w:sz w:val="32"/>
          <w:szCs w:val="32"/>
          <w:lang w:eastAsia="zh-CN"/>
        </w:rPr>
        <w:t>单位</w:t>
      </w:r>
      <w:r>
        <w:rPr>
          <w:rFonts w:hint="eastAsia" w:ascii="黑体" w:hAnsi="ˎ̥" w:eastAsia="黑体" w:cs="Times New Roman"/>
          <w:sz w:val="32"/>
          <w:szCs w:val="32"/>
        </w:rPr>
        <w:t>概况</w:t>
      </w:r>
      <w:bookmarkEnd w:id="2"/>
      <w:bookmarkEnd w:id="3"/>
      <w:bookmarkEnd w:id="4"/>
      <w:bookmarkEnd w:id="5"/>
      <w:bookmarkEnd w:id="6"/>
      <w:bookmarkEnd w:id="7"/>
    </w:p>
    <w:p w14:paraId="61723304">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2D514357">
      <w:pPr>
        <w:snapToGrid w:val="0"/>
        <w:spacing w:line="520" w:lineRule="exact"/>
        <w:ind w:firstLine="640" w:firstLineChars="200"/>
        <w:rPr>
          <w:rFonts w:ascii="黑体" w:hAnsi="黑体" w:eastAsia="黑体" w:cs="仿宋_GB2312"/>
          <w:sz w:val="32"/>
          <w:szCs w:val="32"/>
        </w:rPr>
      </w:pPr>
      <w:bookmarkStart w:id="14" w:name="_Toc6572_WPSOffice_Level2"/>
      <w:bookmarkStart w:id="15" w:name="_Toc24474_WPSOffice_Level2"/>
      <w:bookmarkStart w:id="16" w:name="_Toc17796_WPSOffice_Level2"/>
      <w:bookmarkStart w:id="17" w:name="_Toc4833_WPSOffice_Level2"/>
      <w:bookmarkStart w:id="18" w:name="_Toc24059_WPSOffice_Level2"/>
      <w:r>
        <w:rPr>
          <w:rFonts w:hint="eastAsia" w:ascii="仿宋_GB2312" w:hAnsi="仿宋" w:eastAsia="仿宋_GB2312"/>
          <w:sz w:val="32"/>
          <w:szCs w:val="32"/>
          <w:lang w:val="en-US" w:eastAsia="zh-CN"/>
        </w:rPr>
        <w:t>三亚市天涯区第八幼儿园</w:t>
      </w:r>
      <w:r>
        <w:rPr>
          <w:rFonts w:hint="eastAsia" w:ascii="仿宋_GB2312" w:eastAsia="仿宋_GB2312"/>
          <w:color w:val="000000"/>
          <w:sz w:val="32"/>
          <w:szCs w:val="32"/>
          <w:shd w:val="clear" w:color="auto" w:fill="FFFFFF"/>
        </w:rPr>
        <w:t>贯彻执行党和国家教育工作方针、政策和法律、法规，实施</w:t>
      </w:r>
      <w:r>
        <w:rPr>
          <w:rFonts w:hint="eastAsia" w:ascii="仿宋_GB2312" w:eastAsia="仿宋_GB2312"/>
          <w:color w:val="000000"/>
          <w:sz w:val="32"/>
          <w:szCs w:val="32"/>
          <w:shd w:val="clear" w:color="auto" w:fill="FFFFFF"/>
          <w:lang w:eastAsia="zh-CN"/>
        </w:rPr>
        <w:t>学前</w:t>
      </w:r>
      <w:r>
        <w:rPr>
          <w:rFonts w:hint="eastAsia" w:ascii="仿宋_GB2312" w:eastAsia="仿宋_GB2312"/>
          <w:color w:val="000000"/>
          <w:sz w:val="32"/>
          <w:szCs w:val="32"/>
          <w:shd w:val="clear" w:color="auto" w:fill="FFFFFF"/>
        </w:rPr>
        <w:t>教育，推动基础教育事业发展；贯彻执行国家教育方针政策，传播科学教育观念，促进农村事业发展，促进</w:t>
      </w:r>
      <w:r>
        <w:rPr>
          <w:rFonts w:hint="eastAsia" w:ascii="仿宋_GB2312" w:eastAsia="仿宋_GB2312"/>
          <w:color w:val="000000"/>
          <w:sz w:val="32"/>
          <w:szCs w:val="32"/>
          <w:shd w:val="clear" w:color="auto" w:fill="FFFFFF"/>
          <w:lang w:eastAsia="zh-CN"/>
        </w:rPr>
        <w:t>幼儿</w:t>
      </w:r>
      <w:r>
        <w:rPr>
          <w:rFonts w:hint="eastAsia" w:ascii="仿宋_GB2312" w:eastAsia="仿宋_GB2312"/>
          <w:color w:val="000000"/>
          <w:sz w:val="32"/>
          <w:szCs w:val="32"/>
          <w:shd w:val="clear" w:color="auto" w:fill="FFFFFF"/>
        </w:rPr>
        <w:t>体、智、德、美等和谐发展，保证</w:t>
      </w:r>
      <w:r>
        <w:rPr>
          <w:rFonts w:hint="eastAsia" w:ascii="仿宋_GB2312" w:eastAsia="仿宋_GB2312"/>
          <w:color w:val="000000"/>
          <w:sz w:val="32"/>
          <w:szCs w:val="32"/>
          <w:shd w:val="clear" w:color="auto" w:fill="FFFFFF"/>
          <w:lang w:eastAsia="zh-CN"/>
        </w:rPr>
        <w:t>幼儿</w:t>
      </w:r>
      <w:r>
        <w:rPr>
          <w:rFonts w:hint="eastAsia" w:ascii="仿宋_GB2312" w:eastAsia="仿宋_GB2312"/>
          <w:color w:val="000000"/>
          <w:sz w:val="32"/>
          <w:szCs w:val="32"/>
          <w:shd w:val="clear" w:color="auto" w:fill="FFFFFF"/>
        </w:rPr>
        <w:t>身心健康和生命安全，促进家庭教育质量的不断提高</w:t>
      </w:r>
      <w:r>
        <w:rPr>
          <w:rFonts w:hint="eastAsia" w:ascii="仿宋_GB2312" w:eastAsia="仿宋_GB2312"/>
          <w:color w:val="000000"/>
          <w:sz w:val="32"/>
          <w:szCs w:val="32"/>
          <w:shd w:val="clear" w:color="auto" w:fill="FFFFFF"/>
          <w:lang w:eastAsia="zh-CN"/>
        </w:rPr>
        <w:t>。</w:t>
      </w:r>
    </w:p>
    <w:p w14:paraId="5ECBE75D">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3F29EFC0">
      <w:pPr>
        <w:ind w:firstLine="640" w:firstLineChars="200"/>
        <w:rPr>
          <w:rFonts w:ascii="仿宋_GB2312" w:hAnsi="ˎ̥" w:eastAsia="仿宋_GB2312" w:cs="Times New Roman"/>
          <w:sz w:val="32"/>
          <w:szCs w:val="32"/>
        </w:rPr>
      </w:pPr>
      <w:bookmarkStart w:id="19" w:name="_Toc8164_WPSOffice_Level1"/>
      <w:bookmarkStart w:id="20" w:name="_Toc28253_WPSOffice_Level1"/>
      <w:bookmarkStart w:id="21" w:name="_Toc15521_WPSOffice_Level1"/>
      <w:bookmarkStart w:id="22" w:name="_Toc6234_WPSOffice_Level1"/>
      <w:bookmarkStart w:id="23" w:name="_Toc30451_WPSOffice_Level1"/>
      <w:bookmarkStart w:id="24" w:name="_Toc30690_WPSOffice_Level1"/>
      <w:bookmarkStart w:id="25" w:name="_Toc32695_WPSOffice_Level2"/>
      <w:bookmarkStart w:id="26" w:name="_Toc8867_WPSOffice_Level2"/>
      <w:bookmarkStart w:id="27" w:name="_Toc6211_WPSOffice_Level2"/>
      <w:bookmarkStart w:id="28" w:name="_Toc32472_WPSOffice_Level2"/>
      <w:bookmarkStart w:id="29" w:name="_Toc4029_WPSOffice_Level2"/>
      <w:bookmarkStart w:id="30" w:name="_Toc11518_WPSOffice_Level2"/>
      <w:r>
        <w:rPr>
          <w:rFonts w:hint="eastAsia" w:ascii="仿宋_GB2312" w:hAnsi="ˎ̥" w:eastAsia="仿宋_GB2312" w:cs="Times New Roman"/>
          <w:sz w:val="32"/>
          <w:szCs w:val="32"/>
        </w:rPr>
        <w:t>单位内设机构即包括：</w:t>
      </w:r>
    </w:p>
    <w:p w14:paraId="0AA07C02">
      <w:pPr>
        <w:ind w:firstLine="640" w:firstLineChars="200"/>
        <w:rPr>
          <w:rFonts w:hint="default" w:ascii="楷体" w:hAnsi="楷体" w:eastAsia="楷体" w:cs="楷体"/>
          <w:sz w:val="32"/>
          <w:szCs w:val="32"/>
          <w:lang w:val="en-US" w:eastAsia="zh-CN"/>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lang w:val="en-US" w:eastAsia="zh-CN"/>
        </w:rPr>
        <w:t>园长办公室</w:t>
      </w:r>
    </w:p>
    <w:p w14:paraId="53140313">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保健室</w:t>
      </w:r>
    </w:p>
    <w:p w14:paraId="0751C24F">
      <w:pPr>
        <w:ind w:firstLine="640" w:firstLineChars="200"/>
        <w:rPr>
          <w:rFonts w:hint="eastAsia" w:ascii="楷体" w:hAnsi="楷体" w:eastAsia="楷体" w:cs="楷体"/>
          <w:sz w:val="32"/>
          <w:szCs w:val="32"/>
          <w:lang w:val="en-US" w:eastAsia="zh-CN"/>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lang w:val="en-US" w:eastAsia="zh-CN"/>
        </w:rPr>
        <w:t>办公室</w:t>
      </w:r>
    </w:p>
    <w:p w14:paraId="782CDE64">
      <w:pPr>
        <w:ind w:firstLine="640" w:firstLineChars="200"/>
        <w:rPr>
          <w:rFonts w:hint="default" w:ascii="楷体" w:hAnsi="楷体" w:eastAsia="楷体" w:cs="楷体"/>
          <w:sz w:val="32"/>
          <w:szCs w:val="32"/>
          <w:lang w:val="en-US" w:eastAsia="zh-CN"/>
        </w:rPr>
      </w:pPr>
      <w:r>
        <w:rPr>
          <w:rFonts w:hint="eastAsia" w:ascii="楷体" w:hAnsi="楷体" w:eastAsia="楷体" w:cs="楷体"/>
          <w:sz w:val="32"/>
          <w:szCs w:val="32"/>
        </w:rPr>
        <w:t>（四）</w:t>
      </w:r>
      <w:r>
        <w:rPr>
          <w:rFonts w:hint="eastAsia" w:ascii="楷体" w:hAnsi="楷体" w:eastAsia="楷体" w:cs="楷体"/>
          <w:sz w:val="32"/>
          <w:szCs w:val="32"/>
          <w:lang w:val="en-US" w:eastAsia="zh-CN"/>
        </w:rPr>
        <w:t>财务室</w:t>
      </w:r>
    </w:p>
    <w:p w14:paraId="4F9C4E6D">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sz w:val="32"/>
          <w:szCs w:val="32"/>
          <w:lang w:val="en-US" w:eastAsia="zh-CN"/>
        </w:rPr>
        <w:t>第八幼儿园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21EE57C8">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59446918">
      <w:pPr>
        <w:ind w:firstLine="645"/>
        <w:rPr>
          <w:rFonts w:ascii="黑体" w:hAnsi="黑体" w:eastAsia="黑体" w:cs="黑体"/>
          <w:sz w:val="32"/>
          <w:szCs w:val="32"/>
        </w:rPr>
      </w:pPr>
      <w:bookmarkStart w:id="35" w:name="_Toc25608_WPSOffice_Level2"/>
      <w:bookmarkStart w:id="36" w:name="_Toc23139_WPSOffice_Level2"/>
      <w:bookmarkStart w:id="37" w:name="_Toc26621_WPSOffice_Level2"/>
      <w:bookmarkStart w:id="38" w:name="_Toc28622_WPSOffice_Level2"/>
      <w:bookmarkStart w:id="39" w:name="_Toc14349_WPSOffice_Level2"/>
      <w:bookmarkStart w:id="40" w:name="_Toc30334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5F1A006A">
      <w:pPr>
        <w:ind w:firstLine="645"/>
        <w:rPr>
          <w:rFonts w:ascii="黑体" w:hAnsi="黑体" w:eastAsia="黑体" w:cs="黑体"/>
          <w:sz w:val="32"/>
          <w:szCs w:val="32"/>
        </w:rPr>
      </w:pPr>
      <w:bookmarkStart w:id="41" w:name="_Toc17626_WPSOffice_Level2"/>
      <w:bookmarkStart w:id="42" w:name="_Toc17858_WPSOffice_Level2"/>
      <w:bookmarkStart w:id="43" w:name="_Toc3262_WPSOffice_Level2"/>
      <w:bookmarkStart w:id="44" w:name="_Toc14658_WPSOffice_Level2"/>
      <w:bookmarkStart w:id="45" w:name="_Toc5489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02A2EED0">
      <w:pPr>
        <w:ind w:firstLine="645"/>
        <w:rPr>
          <w:rFonts w:ascii="黑体" w:hAnsi="黑体" w:eastAsia="黑体" w:cs="黑体"/>
          <w:sz w:val="32"/>
          <w:szCs w:val="32"/>
        </w:rPr>
      </w:pPr>
      <w:bookmarkStart w:id="47" w:name="_Toc13701_WPSOffice_Level2"/>
      <w:bookmarkStart w:id="48" w:name="_Toc23591_WPSOffice_Level2"/>
      <w:bookmarkStart w:id="49" w:name="_Toc21415_WPSOffice_Level2"/>
      <w:bookmarkStart w:id="50" w:name="_Toc4265_WPSOffice_Level2"/>
      <w:bookmarkStart w:id="51" w:name="_Toc7988_WPSOffice_Level2"/>
      <w:bookmarkStart w:id="52" w:name="_Toc23493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50A18877">
      <w:pPr>
        <w:ind w:firstLine="645"/>
        <w:rPr>
          <w:rFonts w:ascii="黑体" w:hAnsi="黑体" w:eastAsia="黑体" w:cs="黑体"/>
          <w:sz w:val="32"/>
          <w:szCs w:val="32"/>
        </w:rPr>
      </w:pPr>
      <w:bookmarkStart w:id="53" w:name="_Toc22783_WPSOffice_Level2"/>
      <w:bookmarkStart w:id="54" w:name="_Toc7879_WPSOffice_Level2"/>
      <w:bookmarkStart w:id="55" w:name="_Toc23829_WPSOffice_Level2"/>
      <w:bookmarkStart w:id="56" w:name="_Toc25166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公开表（见正文附件）</w:t>
      </w:r>
      <w:bookmarkEnd w:id="57"/>
      <w:bookmarkEnd w:id="58"/>
      <w:r>
        <w:rPr>
          <w:rFonts w:hint="eastAsia" w:ascii="黑体" w:hAnsi="黑体" w:eastAsia="黑体" w:cs="黑体"/>
          <w:sz w:val="32"/>
          <w:szCs w:val="32"/>
        </w:rPr>
        <w:t>。</w:t>
      </w:r>
    </w:p>
    <w:p w14:paraId="1C992A76">
      <w:pPr>
        <w:ind w:firstLine="645"/>
        <w:rPr>
          <w:rFonts w:ascii="黑体" w:hAnsi="黑体" w:eastAsia="黑体" w:cs="黑体"/>
          <w:sz w:val="32"/>
          <w:szCs w:val="32"/>
        </w:rPr>
      </w:pPr>
      <w:bookmarkStart w:id="59" w:name="_Toc17283_WPSOffice_Level2"/>
      <w:bookmarkStart w:id="60" w:name="_Toc8373_WPSOffice_Level2"/>
      <w:bookmarkStart w:id="61" w:name="_Toc2632_WPSOffice_Level2"/>
      <w:bookmarkStart w:id="62" w:name="_Toc25362_WPSOffice_Level2"/>
      <w:bookmarkStart w:id="63" w:name="_Toc17833_WPSOffice_Level2"/>
      <w:bookmarkStart w:id="64" w:name="_Toc534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公开表（见正文附件）。</w:t>
      </w:r>
    </w:p>
    <w:p w14:paraId="598645B2">
      <w:pPr>
        <w:ind w:left="1118" w:leftChars="304" w:hanging="480" w:hangingChars="150"/>
        <w:rPr>
          <w:rFonts w:ascii="黑体" w:hAnsi="黑体" w:eastAsia="黑体" w:cs="黑体"/>
          <w:sz w:val="32"/>
          <w:szCs w:val="32"/>
        </w:rPr>
      </w:pPr>
      <w:bookmarkStart w:id="65" w:name="_Toc1533_WPSOffice_Level2"/>
      <w:bookmarkStart w:id="66" w:name="_Toc11799_WPSOffice_Level2"/>
      <w:bookmarkStart w:id="67" w:name="_Toc5594_WPSOffice_Level2"/>
      <w:bookmarkStart w:id="68" w:name="_Toc21310_WPSOffice_Level2"/>
      <w:bookmarkStart w:id="69" w:name="_Toc6020_WPSOffice_Level2"/>
      <w:bookmarkStart w:id="70" w:name="_Toc13345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公开表（见正文附件）。</w:t>
      </w:r>
    </w:p>
    <w:p w14:paraId="55F4F677">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w:t>
      </w:r>
      <w:r>
        <w:rPr>
          <w:rFonts w:hint="eastAsia" w:ascii="黑体" w:hAnsi="黑体" w:eastAsia="黑体" w:cs="黑体"/>
          <w:sz w:val="32"/>
          <w:szCs w:val="32"/>
          <w:lang w:val="en-US" w:eastAsia="zh-CN"/>
        </w:rPr>
        <w:t>表</w:t>
      </w:r>
      <w:r>
        <w:rPr>
          <w:rFonts w:hint="eastAsia" w:ascii="黑体" w:hAnsi="黑体" w:eastAsia="黑体" w:cs="黑体"/>
          <w:sz w:val="32"/>
          <w:szCs w:val="32"/>
        </w:rPr>
        <w:t>（见正文附件）。</w:t>
      </w:r>
    </w:p>
    <w:p w14:paraId="5D30E55B">
      <w:pPr>
        <w:rPr>
          <w:rFonts w:ascii="黑体" w:hAnsi="黑体" w:eastAsia="黑体" w:cs="黑体"/>
          <w:sz w:val="32"/>
          <w:szCs w:val="32"/>
        </w:rPr>
      </w:pPr>
      <w:bookmarkStart w:id="71" w:name="_Toc19961_WPSOffice_Level2"/>
      <w:bookmarkStart w:id="72" w:name="_Toc29886_WPSOffice_Level2"/>
      <w:bookmarkStart w:id="73" w:name="_Toc9377_WPSOffice_Level2"/>
      <w:bookmarkStart w:id="74" w:name="_Toc1820_WPSOffice_Level2"/>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九、一般公共预算财政拨款“三公”经费支出决算公开表（见正文附件）。</w:t>
      </w:r>
    </w:p>
    <w:p w14:paraId="3C0B3C95">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十、政府性基金预算财政拨款“三公”经费支出决算公开表</w:t>
      </w:r>
      <w:r>
        <w:rPr>
          <w:rFonts w:hint="eastAsia" w:ascii="黑体" w:hAnsi="黑体" w:eastAsia="黑体" w:cs="黑体"/>
          <w:sz w:val="32"/>
          <w:szCs w:val="32"/>
        </w:rPr>
        <w:t>（见正文附件）。</w:t>
      </w:r>
    </w:p>
    <w:p w14:paraId="22DEA15F">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十一、国有资本经营预算财政拨款“三公”经费支出决算公开表</w:t>
      </w:r>
      <w:r>
        <w:rPr>
          <w:rFonts w:hint="eastAsia" w:ascii="黑体" w:hAnsi="黑体" w:eastAsia="黑体" w:cs="黑体"/>
          <w:sz w:val="32"/>
          <w:szCs w:val="32"/>
        </w:rPr>
        <w:t>（见正文附件）。</w:t>
      </w:r>
    </w:p>
    <w:p w14:paraId="73C73837">
      <w:pPr>
        <w:jc w:val="center"/>
        <w:rPr>
          <w:rFonts w:ascii="黑体" w:hAnsi="ˎ̥" w:eastAsia="黑体" w:cs="Times New Roman"/>
          <w:sz w:val="32"/>
          <w:szCs w:val="32"/>
        </w:rPr>
      </w:pPr>
      <w:bookmarkStart w:id="75" w:name="_Toc29683_WPSOffice_Level1"/>
      <w:bookmarkStart w:id="76" w:name="_Toc27590_WPSOffice_Level1"/>
      <w:bookmarkStart w:id="77" w:name="_Toc4402_WPSOffice_Level1"/>
      <w:bookmarkStart w:id="78" w:name="_Toc16686_WPSOffice_Level1"/>
      <w:bookmarkStart w:id="79" w:name="_Toc31264_WPSOffice_Level1"/>
      <w:bookmarkStart w:id="80" w:name="_Toc28629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val="en-US" w:eastAsia="zh-CN"/>
        </w:rPr>
        <w:t>第八幼儿园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eastAsia="zh-CN"/>
        </w:rPr>
        <w:t>单位</w:t>
      </w:r>
      <w:r>
        <w:rPr>
          <w:rFonts w:hint="eastAsia" w:ascii="黑体" w:hAnsi="ˎ̥" w:eastAsia="黑体" w:cs="Times New Roman"/>
          <w:sz w:val="32"/>
          <w:szCs w:val="32"/>
        </w:rPr>
        <w:t>决算情况说明</w:t>
      </w:r>
      <w:bookmarkEnd w:id="75"/>
      <w:bookmarkEnd w:id="76"/>
      <w:bookmarkEnd w:id="77"/>
      <w:bookmarkEnd w:id="78"/>
      <w:bookmarkEnd w:id="79"/>
      <w:bookmarkEnd w:id="80"/>
    </w:p>
    <w:p w14:paraId="51FA0933">
      <w:pPr>
        <w:numPr>
          <w:ilvl w:val="0"/>
          <w:numId w:val="0"/>
        </w:num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一、</w:t>
      </w:r>
      <w:r>
        <w:rPr>
          <w:rFonts w:hint="eastAsia" w:ascii="黑体" w:hAnsi="黑体" w:eastAsia="黑体" w:cs="黑体"/>
          <w:bCs/>
          <w:sz w:val="32"/>
          <w:szCs w:val="32"/>
        </w:rPr>
        <w:t>收入支出决算总体情况说明</w:t>
      </w:r>
    </w:p>
    <w:p w14:paraId="0F698D5E">
      <w:pPr>
        <w:numPr>
          <w:ilvl w:val="0"/>
          <w:numId w:val="0"/>
        </w:num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highlight w:val="none"/>
          <w:lang w:val="en-US" w:eastAsia="zh-CN"/>
        </w:rPr>
        <w:t>2023年度收入总计101.04万元，支出总计101.04万元</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val="en-US" w:eastAsia="zh-CN"/>
        </w:rPr>
        <w:t>增加93.32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上升92.36</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val="en-US" w:eastAsia="zh-CN"/>
        </w:rPr>
        <w:t>增加93.32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增加92.36</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2EF7E3ED">
      <w:pPr>
        <w:numPr>
          <w:ilvl w:val="0"/>
          <w:numId w:val="0"/>
        </w:num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14:paraId="53DB5347">
      <w:pPr>
        <w:numPr>
          <w:ilvl w:val="0"/>
          <w:numId w:val="0"/>
        </w:num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lang w:val="en-US" w:eastAsia="zh-CN"/>
        </w:rPr>
        <w:t>101.04</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101.04</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w:t>
      </w:r>
    </w:p>
    <w:p w14:paraId="111BFF4B">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7252A24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101.04</w:t>
      </w:r>
      <w:r>
        <w:rPr>
          <w:rFonts w:hint="eastAsia" w:ascii="仿宋_GB2312" w:hAnsi="ˎ̥" w:eastAsia="仿宋_GB2312" w:cs="Times New Roman"/>
          <w:sz w:val="32"/>
          <w:szCs w:val="32"/>
        </w:rPr>
        <w:t>万元，其中：</w:t>
      </w:r>
      <w:r>
        <w:rPr>
          <w:rFonts w:hint="eastAsia" w:ascii="仿宋_GB2312" w:hAnsi="ˎ̥" w:eastAsia="仿宋_GB2312" w:cs="Times New Roman"/>
          <w:sz w:val="32"/>
          <w:szCs w:val="32"/>
          <w:lang w:val="en-US" w:eastAsia="zh-CN"/>
        </w:rPr>
        <w:t>基本</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51.68</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51.15</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项目</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49.36</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占48.85%</w:t>
      </w:r>
    </w:p>
    <w:p w14:paraId="69B7AE50">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7CBA0E91">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val="en-US" w:eastAsia="zh-CN"/>
        </w:rPr>
        <w:t>2023年度财政拨款收入总计101.04万元，支出总计101.04万元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年度相比，财政拨款收入总计</w:t>
      </w:r>
      <w:r>
        <w:rPr>
          <w:rFonts w:hint="eastAsia" w:ascii="仿宋_GB2312" w:hAnsi="ˎ̥" w:eastAsia="仿宋_GB2312" w:cs="Times New Roman"/>
          <w:sz w:val="32"/>
          <w:szCs w:val="32"/>
          <w:highlight w:val="none"/>
          <w:lang w:val="en-US" w:eastAsia="zh-CN"/>
        </w:rPr>
        <w:t>增加93.32</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上升92.36</w:t>
      </w:r>
      <w:r>
        <w:rPr>
          <w:rFonts w:hint="eastAsia" w:ascii="仿宋_GB2312" w:hAnsi="ˎ̥" w:eastAsia="仿宋_GB2312" w:cs="Times New Roman"/>
          <w:sz w:val="32"/>
          <w:szCs w:val="32"/>
          <w:highlight w:val="none"/>
        </w:rPr>
        <w:t>%。支出总计</w:t>
      </w:r>
      <w:r>
        <w:rPr>
          <w:rFonts w:hint="eastAsia" w:ascii="仿宋_GB2312" w:hAnsi="ˎ̥" w:eastAsia="仿宋_GB2312" w:cs="Times New Roman"/>
          <w:sz w:val="32"/>
          <w:szCs w:val="32"/>
          <w:highlight w:val="none"/>
          <w:lang w:val="en-US" w:eastAsia="zh-CN"/>
        </w:rPr>
        <w:t>增加93.32</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增加92.36</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val="en-US" w:eastAsia="zh-CN"/>
        </w:rPr>
        <w:t>2023年10月开园，</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14:paraId="6B03767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23CBD47D">
      <w:pP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079A3FD5">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0E3681B1">
      <w:pPr>
        <w:ind w:firstLine="640" w:firstLineChars="200"/>
        <w:rPr>
          <w:rFonts w:ascii="楷体" w:hAnsi="楷体" w:eastAsia="楷体" w:cs="楷体"/>
          <w:sz w:val="32"/>
          <w:szCs w:val="32"/>
        </w:rPr>
      </w:pPr>
      <w:bookmarkStart w:id="81" w:name="_Toc13694_WPSOffice_Level2"/>
      <w:bookmarkStart w:id="82" w:name="_Toc17398_WPSOffice_Level2"/>
      <w:bookmarkStart w:id="83" w:name="_Toc21737_WPSOffice_Level2"/>
      <w:bookmarkStart w:id="84" w:name="_Toc23005_WPSOffice_Level2"/>
      <w:bookmarkStart w:id="85" w:name="_Toc9989_WPSOffice_Level2"/>
      <w:bookmarkStart w:id="86" w:name="_Toc19665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6EDB7D06">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101.04</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年度相比，一般公共预算财政拨款支出</w:t>
      </w:r>
      <w:bookmarkStart w:id="87" w:name="_Toc18793_WPSOffice_Level2"/>
      <w:bookmarkStart w:id="88" w:name="_Toc2711_WPSOffice_Level2"/>
      <w:bookmarkStart w:id="89" w:name="_Toc19075_WPSOffice_Level2"/>
      <w:bookmarkStart w:id="90" w:name="_Toc23864_WPSOffice_Level2"/>
      <w:bookmarkStart w:id="91" w:name="_Toc27767_WPSOffice_Level2"/>
      <w:bookmarkStart w:id="92" w:name="_Toc19535_WPSOffice_Level2"/>
      <w:r>
        <w:rPr>
          <w:rFonts w:hint="eastAsia" w:ascii="仿宋_GB2312" w:hAnsi="ˎ̥" w:eastAsia="仿宋_GB2312" w:cs="Times New Roman"/>
          <w:sz w:val="32"/>
          <w:szCs w:val="32"/>
          <w:lang w:val="en-US" w:eastAsia="zh-CN"/>
        </w:rPr>
        <w:t>增加93.32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增加92.36</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ascii="仿宋_GB2312" w:hAnsi="ˎ̥" w:eastAsia="仿宋_GB2312" w:cs="仿宋_GB2312"/>
          <w:sz w:val="32"/>
          <w:szCs w:val="32"/>
          <w:highlight w:val="none"/>
        </w:rPr>
        <w:t>主要原因</w:t>
      </w:r>
      <w:r>
        <w:rPr>
          <w:rFonts w:hint="eastAsia" w:ascii="仿宋_GB2312" w:hAnsi="ˎ̥" w:eastAsia="仿宋_GB2312" w:cs="仿宋_GB2312"/>
          <w:sz w:val="32"/>
          <w:szCs w:val="32"/>
          <w:highlight w:val="none"/>
          <w:lang w:val="en-US" w:eastAsia="zh-CN"/>
        </w:rPr>
        <w:t>2023年10月开园，</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14:paraId="0E894894">
      <w:pPr>
        <w:ind w:firstLine="640" w:firstLineChars="200"/>
        <w:rPr>
          <w:rFonts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highlight w:val="none"/>
        </w:rPr>
        <w:t>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4DA85EA8">
      <w:pPr>
        <w:ind w:firstLine="640" w:firstLineChars="200"/>
        <w:rPr>
          <w:rFonts w:hint="eastAsia" w:ascii="仿宋_GB2312" w:hAnsi="ˎ̥" w:eastAsia="仿宋_GB2312" w:cs="Times New Roman"/>
          <w:color w:val="auto"/>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w:t>
      </w:r>
      <w:r>
        <w:rPr>
          <w:rFonts w:hint="eastAsia" w:ascii="仿宋_GB2312" w:hAnsi="ˎ̥" w:eastAsia="仿宋_GB2312" w:cs="Times New Roman"/>
          <w:color w:val="auto"/>
          <w:sz w:val="32"/>
          <w:szCs w:val="32"/>
        </w:rPr>
        <w:t>政拨款支出</w:t>
      </w:r>
      <w:r>
        <w:rPr>
          <w:rFonts w:hint="eastAsia" w:ascii="仿宋_GB2312" w:hAnsi="ˎ̥" w:eastAsia="仿宋_GB2312" w:cs="Times New Roman"/>
          <w:color w:val="auto"/>
          <w:sz w:val="32"/>
          <w:szCs w:val="32"/>
          <w:lang w:val="en-US" w:eastAsia="zh-CN"/>
        </w:rPr>
        <w:t>101.04</w:t>
      </w:r>
      <w:r>
        <w:rPr>
          <w:rFonts w:hint="eastAsia" w:ascii="仿宋_GB2312" w:hAnsi="ˎ̥" w:eastAsia="仿宋_GB2312" w:cs="Times New Roman"/>
          <w:color w:val="auto"/>
          <w:sz w:val="32"/>
          <w:szCs w:val="32"/>
        </w:rPr>
        <w:t>万元，主要用于以下方面：</w:t>
      </w:r>
      <w:r>
        <w:rPr>
          <w:rFonts w:hint="eastAsia" w:ascii="仿宋_GB2312" w:hAnsi="ˎ̥" w:eastAsia="仿宋_GB2312" w:cs="Times New Roman"/>
          <w:b/>
          <w:bCs/>
          <w:color w:val="auto"/>
          <w:sz w:val="32"/>
          <w:szCs w:val="32"/>
          <w:lang w:val="en-US" w:eastAsia="zh-CN"/>
        </w:rPr>
        <w:t>工资福利</w:t>
      </w:r>
      <w:r>
        <w:rPr>
          <w:rFonts w:hint="eastAsia" w:ascii="仿宋_GB2312" w:hAnsi="ˎ̥" w:eastAsia="仿宋_GB2312" w:cs="Times New Roman"/>
          <w:color w:val="auto"/>
          <w:sz w:val="32"/>
          <w:szCs w:val="32"/>
        </w:rPr>
        <w:t>支出</w:t>
      </w:r>
      <w:r>
        <w:rPr>
          <w:rFonts w:hint="eastAsia" w:ascii="仿宋_GB2312" w:hAnsi="ˎ̥" w:eastAsia="仿宋_GB2312" w:cs="仿宋_GB2312"/>
          <w:color w:val="auto"/>
          <w:sz w:val="32"/>
          <w:szCs w:val="32"/>
          <w:lang w:val="en-US" w:eastAsia="zh-CN"/>
        </w:rPr>
        <w:t>51.38</w:t>
      </w:r>
      <w:r>
        <w:rPr>
          <w:rFonts w:hint="eastAsia" w:ascii="仿宋_GB2312" w:hAnsi="ˎ̥" w:eastAsia="仿宋_GB2312" w:cs="Times New Roman"/>
          <w:color w:val="auto"/>
          <w:sz w:val="32"/>
          <w:szCs w:val="32"/>
        </w:rPr>
        <w:t>万元，占</w:t>
      </w:r>
      <w:r>
        <w:rPr>
          <w:rFonts w:hint="eastAsia" w:ascii="仿宋_GB2312" w:hAnsi="ˎ̥" w:eastAsia="仿宋_GB2312" w:cs="Times New Roman"/>
          <w:color w:val="auto"/>
          <w:sz w:val="32"/>
          <w:szCs w:val="32"/>
          <w:lang w:val="en-US" w:eastAsia="zh-CN"/>
        </w:rPr>
        <w:t>50.85</w:t>
      </w:r>
      <w:r>
        <w:rPr>
          <w:rFonts w:hint="eastAsia" w:ascii="仿宋_GB2312" w:hAnsi="ˎ̥" w:eastAsia="仿宋_GB2312" w:cs="Times New Roman"/>
          <w:color w:val="auto"/>
          <w:sz w:val="32"/>
          <w:szCs w:val="32"/>
        </w:rPr>
        <w:t>%；</w:t>
      </w:r>
      <w:r>
        <w:rPr>
          <w:rFonts w:hint="eastAsia" w:ascii="仿宋_GB2312" w:hAnsi="ˎ̥" w:eastAsia="仿宋_GB2312" w:cs="Times New Roman"/>
          <w:b/>
          <w:color w:val="auto"/>
          <w:sz w:val="32"/>
          <w:szCs w:val="32"/>
          <w:lang w:val="en-US" w:eastAsia="zh-CN"/>
        </w:rPr>
        <w:t>商品和服务</w:t>
      </w:r>
      <w:r>
        <w:rPr>
          <w:rFonts w:hint="eastAsia" w:ascii="仿宋_GB2312" w:hAnsi="ˎ̥" w:eastAsia="仿宋_GB2312" w:cs="Times New Roman"/>
          <w:color w:val="auto"/>
          <w:sz w:val="32"/>
          <w:szCs w:val="32"/>
        </w:rPr>
        <w:t>支出</w:t>
      </w:r>
      <w:r>
        <w:rPr>
          <w:rFonts w:hint="eastAsia" w:ascii="仿宋_GB2312" w:hAnsi="ˎ̥" w:eastAsia="仿宋_GB2312" w:cs="Times New Roman"/>
          <w:color w:val="auto"/>
          <w:sz w:val="32"/>
          <w:szCs w:val="32"/>
          <w:lang w:val="en-US" w:eastAsia="zh-CN"/>
        </w:rPr>
        <w:t>0.30</w:t>
      </w:r>
      <w:r>
        <w:rPr>
          <w:rFonts w:hint="eastAsia" w:ascii="仿宋_GB2312" w:hAnsi="ˎ̥" w:eastAsia="仿宋_GB2312" w:cs="Times New Roman"/>
          <w:color w:val="auto"/>
          <w:sz w:val="32"/>
          <w:szCs w:val="32"/>
        </w:rPr>
        <w:t>万元，</w:t>
      </w:r>
      <w:r>
        <w:rPr>
          <w:rFonts w:hint="eastAsia" w:ascii="仿宋_GB2312" w:hAnsi="ˎ̥" w:eastAsia="仿宋_GB2312" w:cs="Times New Roman"/>
          <w:color w:val="auto"/>
          <w:sz w:val="32"/>
          <w:szCs w:val="32"/>
          <w:lang w:val="en-US" w:eastAsia="zh-CN"/>
        </w:rPr>
        <w:t>占0.30</w:t>
      </w:r>
      <w:r>
        <w:rPr>
          <w:rFonts w:hint="eastAsia" w:ascii="仿宋_GB2312" w:hAnsi="ˎ̥" w:eastAsia="仿宋_GB2312" w:cs="Times New Roman"/>
          <w:color w:val="auto"/>
          <w:sz w:val="32"/>
          <w:szCs w:val="32"/>
        </w:rPr>
        <w:t>%；</w:t>
      </w:r>
      <w:r>
        <w:rPr>
          <w:rFonts w:hint="eastAsia" w:ascii="仿宋_GB2312" w:hAnsi="ˎ̥" w:eastAsia="仿宋_GB2312" w:cs="Times New Roman"/>
          <w:b/>
          <w:bCs/>
          <w:color w:val="auto"/>
          <w:sz w:val="32"/>
          <w:szCs w:val="32"/>
          <w:lang w:val="en-US" w:eastAsia="zh-CN"/>
        </w:rPr>
        <w:t>对个人和家庭的补助</w:t>
      </w:r>
      <w:r>
        <w:rPr>
          <w:rFonts w:hint="eastAsia" w:ascii="仿宋_GB2312" w:hAnsi="ˎ̥" w:eastAsia="仿宋_GB2312" w:cs="Times New Roman"/>
          <w:color w:val="auto"/>
          <w:sz w:val="32"/>
          <w:szCs w:val="32"/>
          <w:lang w:val="en-US" w:eastAsia="zh-CN"/>
        </w:rPr>
        <w:t>支出0万元，占0</w:t>
      </w:r>
      <w:r>
        <w:rPr>
          <w:rFonts w:hint="eastAsia" w:ascii="仿宋_GB2312" w:hAnsi="ˎ̥" w:eastAsia="仿宋_GB2312" w:cs="Times New Roman"/>
          <w:color w:val="auto"/>
          <w:sz w:val="32"/>
          <w:szCs w:val="32"/>
        </w:rPr>
        <w:t>%</w:t>
      </w:r>
      <w:r>
        <w:rPr>
          <w:rFonts w:hint="eastAsia" w:ascii="仿宋_GB2312" w:hAnsi="ˎ̥" w:eastAsia="仿宋_GB2312" w:cs="Times New Roman"/>
          <w:color w:val="auto"/>
          <w:sz w:val="32"/>
          <w:szCs w:val="32"/>
          <w:lang w:val="en-US" w:eastAsia="zh-CN"/>
        </w:rPr>
        <w:t>；</w:t>
      </w:r>
      <w:r>
        <w:rPr>
          <w:rFonts w:hint="eastAsia" w:ascii="仿宋_GB2312" w:hAnsi="ˎ̥" w:eastAsia="仿宋_GB2312" w:cs="Times New Roman"/>
          <w:b/>
          <w:bCs/>
          <w:color w:val="auto"/>
          <w:sz w:val="32"/>
          <w:szCs w:val="32"/>
          <w:lang w:val="en-US" w:eastAsia="zh-CN"/>
        </w:rPr>
        <w:t>资本性</w:t>
      </w:r>
      <w:r>
        <w:rPr>
          <w:rFonts w:hint="eastAsia" w:ascii="仿宋_GB2312" w:hAnsi="ˎ̥" w:eastAsia="仿宋_GB2312" w:cs="Times New Roman"/>
          <w:color w:val="auto"/>
          <w:sz w:val="32"/>
          <w:szCs w:val="32"/>
        </w:rPr>
        <w:t>支出</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万元，占</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w:t>
      </w:r>
      <w:bookmarkStart w:id="93" w:name="_Toc15415_WPSOffice_Level2"/>
      <w:bookmarkStart w:id="94" w:name="_Toc25136_WPSOffice_Level2"/>
      <w:bookmarkStart w:id="95" w:name="_Toc21701_WPSOffice_Level2"/>
      <w:bookmarkStart w:id="96" w:name="_Toc29364_WPSOffice_Level2"/>
      <w:bookmarkStart w:id="97" w:name="_Toc9502_WPSOffice_Level2"/>
      <w:bookmarkStart w:id="98" w:name="_Toc22318_WPSOffice_Level2"/>
      <w:r>
        <w:rPr>
          <w:rFonts w:hint="eastAsia" w:ascii="仿宋_GB2312" w:hAnsi="ˎ̥" w:eastAsia="仿宋_GB2312" w:cs="Times New Roman"/>
          <w:color w:val="auto"/>
          <w:sz w:val="32"/>
          <w:szCs w:val="32"/>
          <w:lang w:eastAsia="zh-CN"/>
        </w:rPr>
        <w:t>。</w:t>
      </w:r>
    </w:p>
    <w:p w14:paraId="52F73BFD">
      <w:pPr>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（三）一般公共预算财政拨款支出决算具体情况。</w:t>
      </w:r>
      <w:bookmarkEnd w:id="93"/>
      <w:bookmarkEnd w:id="94"/>
      <w:bookmarkEnd w:id="95"/>
      <w:bookmarkEnd w:id="96"/>
      <w:bookmarkEnd w:id="97"/>
      <w:bookmarkEnd w:id="98"/>
    </w:p>
    <w:p w14:paraId="373C52D8">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color w:val="auto"/>
          <w:sz w:val="32"/>
          <w:szCs w:val="32"/>
          <w:highlight w:val="none"/>
          <w:lang w:eastAsia="zh-CN"/>
        </w:rPr>
        <w:t>202</w:t>
      </w:r>
      <w:r>
        <w:rPr>
          <w:rFonts w:hint="eastAsia" w:ascii="仿宋_GB2312" w:hAnsi="ˎ̥" w:eastAsia="仿宋_GB2312" w:cs="Times New Roman"/>
          <w:color w:val="auto"/>
          <w:sz w:val="32"/>
          <w:szCs w:val="32"/>
          <w:highlight w:val="none"/>
          <w:lang w:val="en-US" w:eastAsia="zh-CN"/>
        </w:rPr>
        <w:t>3</w:t>
      </w:r>
      <w:r>
        <w:rPr>
          <w:rFonts w:hint="eastAsia" w:ascii="仿宋_GB2312" w:hAnsi="ˎ̥" w:eastAsia="仿宋_GB2312" w:cs="Times New Roman"/>
          <w:color w:val="auto"/>
          <w:sz w:val="32"/>
          <w:szCs w:val="32"/>
          <w:highlight w:val="none"/>
        </w:rPr>
        <w:t>年度一般公共预算财政拨款支出年初预算为</w:t>
      </w:r>
      <w:r>
        <w:rPr>
          <w:rFonts w:hint="eastAsia" w:ascii="仿宋_GB2312" w:hAnsi="ˎ̥" w:eastAsia="仿宋_GB2312" w:cs="Times New Roman"/>
          <w:color w:val="auto"/>
          <w:sz w:val="32"/>
          <w:szCs w:val="32"/>
          <w:highlight w:val="none"/>
          <w:lang w:val="en-US" w:eastAsia="zh-CN"/>
        </w:rPr>
        <w:t>101.04</w:t>
      </w:r>
      <w:r>
        <w:rPr>
          <w:rFonts w:hint="eastAsia" w:ascii="仿宋_GB2312" w:hAnsi="ˎ̥" w:eastAsia="仿宋_GB2312" w:cs="Times New Roman"/>
          <w:color w:val="auto"/>
          <w:sz w:val="32"/>
          <w:szCs w:val="32"/>
          <w:highlight w:val="none"/>
        </w:rPr>
        <w:t>万元，支出决算为</w:t>
      </w:r>
      <w:r>
        <w:rPr>
          <w:rFonts w:hint="eastAsia" w:ascii="仿宋_GB2312" w:hAnsi="ˎ̥" w:eastAsia="仿宋_GB2312" w:cs="Times New Roman"/>
          <w:color w:val="auto"/>
          <w:sz w:val="32"/>
          <w:szCs w:val="32"/>
          <w:highlight w:val="none"/>
          <w:lang w:val="en-US" w:eastAsia="zh-CN"/>
        </w:rPr>
        <w:t>101.04</w:t>
      </w:r>
      <w:r>
        <w:rPr>
          <w:rFonts w:hint="eastAsia" w:ascii="仿宋_GB2312" w:hAnsi="ˎ̥" w:eastAsia="仿宋_GB2312" w:cs="Times New Roman"/>
          <w:color w:val="auto"/>
          <w:sz w:val="32"/>
          <w:szCs w:val="32"/>
          <w:highlight w:val="none"/>
        </w:rPr>
        <w:t>万元，完成年初预算</w:t>
      </w:r>
      <w:r>
        <w:rPr>
          <w:rFonts w:hint="eastAsia" w:ascii="仿宋_GB2312" w:hAnsi="ˎ̥" w:eastAsia="仿宋_GB2312" w:cs="Times New Roman"/>
          <w:sz w:val="32"/>
          <w:szCs w:val="32"/>
          <w:highlight w:val="none"/>
        </w:rPr>
        <w:t>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%。其中：</w:t>
      </w:r>
    </w:p>
    <w:p w14:paraId="04F744C0">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1.</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教育管理事务</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其他教育管理事务支出</w:t>
      </w:r>
      <w:r>
        <w:rPr>
          <w:rFonts w:hint="eastAsia" w:ascii="仿宋_GB2312" w:hAnsi="ˎ̥" w:eastAsia="仿宋_GB2312" w:cs="Times New Roman"/>
          <w:b/>
          <w:sz w:val="32"/>
          <w:szCs w:val="32"/>
          <w:highlight w:val="none"/>
        </w:rPr>
        <w:t>（项）。</w:t>
      </w:r>
    </w:p>
    <w:p w14:paraId="747597AE">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0338B3CD">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2.</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（类）普通教育（款）</w:t>
      </w:r>
      <w:r>
        <w:rPr>
          <w:rFonts w:hint="eastAsia" w:ascii="仿宋_GB2312" w:hAnsi="ˎ̥" w:eastAsia="仿宋_GB2312" w:cs="Times New Roman"/>
          <w:b/>
          <w:sz w:val="32"/>
          <w:szCs w:val="32"/>
          <w:highlight w:val="none"/>
          <w:lang w:val="en-US" w:eastAsia="zh-CN"/>
        </w:rPr>
        <w:t>学前教育</w:t>
      </w:r>
      <w:r>
        <w:rPr>
          <w:rFonts w:hint="eastAsia" w:ascii="仿宋_GB2312" w:hAnsi="ˎ̥" w:eastAsia="仿宋_GB2312" w:cs="Times New Roman"/>
          <w:b/>
          <w:sz w:val="32"/>
          <w:szCs w:val="32"/>
          <w:highlight w:val="none"/>
        </w:rPr>
        <w:t>（项）。</w:t>
      </w:r>
    </w:p>
    <w:p w14:paraId="0145441D">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83.75</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83.75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011AE013">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3.</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机关事业单位基本养老保险缴费支出</w:t>
      </w:r>
      <w:r>
        <w:rPr>
          <w:rFonts w:hint="eastAsia" w:ascii="仿宋_GB2312" w:hAnsi="ˎ̥" w:eastAsia="仿宋_GB2312" w:cs="Times New Roman"/>
          <w:b/>
          <w:sz w:val="32"/>
          <w:szCs w:val="32"/>
          <w:highlight w:val="none"/>
        </w:rPr>
        <w:t>（项）</w:t>
      </w:r>
    </w:p>
    <w:p w14:paraId="66702971">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5.38</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5.38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653136FA">
      <w:pPr>
        <w:ind w:firstLine="640" w:firstLineChars="200"/>
        <w:rPr>
          <w:rFonts w:hint="eastAsia"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4.</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机关事业单位职业年金缴费支出</w:t>
      </w:r>
      <w:r>
        <w:rPr>
          <w:rFonts w:hint="eastAsia" w:ascii="仿宋_GB2312" w:hAnsi="ˎ̥" w:eastAsia="仿宋_GB2312" w:cs="Times New Roman"/>
          <w:b/>
          <w:sz w:val="32"/>
          <w:szCs w:val="32"/>
          <w:highlight w:val="none"/>
        </w:rPr>
        <w:t>（项）</w:t>
      </w:r>
    </w:p>
    <w:p w14:paraId="16DA4C2C">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2.69</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2.69</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7233110E">
      <w:pPr>
        <w:ind w:firstLine="643" w:firstLineChars="200"/>
        <w:rPr>
          <w:rFonts w:hint="eastAsia" w:ascii="仿宋_GB2312" w:hAnsi="ˎ̥" w:eastAsia="仿宋_GB2312" w:cs="Times New Roman"/>
          <w:b/>
          <w:sz w:val="32"/>
          <w:szCs w:val="32"/>
          <w:highlight w:val="none"/>
        </w:rPr>
      </w:pPr>
      <w:r>
        <w:rPr>
          <w:rFonts w:hint="eastAsia" w:ascii="仿宋_GB2312" w:hAnsi="ˎ̥" w:eastAsia="仿宋_GB2312" w:cs="Times New Roman"/>
          <w:b/>
          <w:sz w:val="32"/>
          <w:szCs w:val="32"/>
          <w:highlight w:val="none"/>
          <w:lang w:val="en-US" w:eastAsia="zh-CN"/>
        </w:rPr>
        <w:t>5.卫生健康支出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事业单位医疗</w:t>
      </w:r>
      <w:r>
        <w:rPr>
          <w:rFonts w:hint="eastAsia" w:ascii="仿宋_GB2312" w:hAnsi="ˎ̥" w:eastAsia="仿宋_GB2312" w:cs="Times New Roman"/>
          <w:b/>
          <w:sz w:val="32"/>
          <w:szCs w:val="32"/>
          <w:highlight w:val="none"/>
        </w:rPr>
        <w:t>（项）</w:t>
      </w:r>
    </w:p>
    <w:p w14:paraId="4E4E1F5C">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2.14</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2.14</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79DCB530">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6.卫生健康支出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公务员医疗补助</w:t>
      </w:r>
      <w:r>
        <w:rPr>
          <w:rFonts w:hint="eastAsia" w:ascii="仿宋_GB2312" w:hAnsi="ˎ̥" w:eastAsia="仿宋_GB2312" w:cs="Times New Roman"/>
          <w:b/>
          <w:sz w:val="32"/>
          <w:szCs w:val="32"/>
          <w:highlight w:val="none"/>
        </w:rPr>
        <w:t>（项）</w:t>
      </w:r>
    </w:p>
    <w:p w14:paraId="626DC713">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3.75</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3.75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1885298B">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7.住房保障支出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住房改革支出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住房公积金</w:t>
      </w:r>
      <w:r>
        <w:rPr>
          <w:rFonts w:hint="eastAsia" w:ascii="仿宋_GB2312" w:hAnsi="ˎ̥" w:eastAsia="仿宋_GB2312" w:cs="Times New Roman"/>
          <w:b/>
          <w:sz w:val="32"/>
          <w:szCs w:val="32"/>
          <w:highlight w:val="none"/>
        </w:rPr>
        <w:t>（项）</w:t>
      </w:r>
    </w:p>
    <w:p w14:paraId="28DB1E51">
      <w:pPr>
        <w:rPr>
          <w:rFonts w:hint="default" w:ascii="仿宋_GB2312" w:hAnsi="ˎ̥" w:eastAsia="仿宋_GB2312" w:cs="Times New Roman"/>
          <w:sz w:val="32"/>
          <w:szCs w:val="32"/>
          <w:highlight w:val="yellow"/>
          <w:lang w:val="en-US" w:eastAsia="zh-CN"/>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3.32</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3.32</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3B84E8C1">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13CFCC2B">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51.68</w:t>
      </w:r>
      <w:r>
        <w:rPr>
          <w:rFonts w:hint="eastAsia" w:ascii="仿宋_GB2312" w:hAnsi="ˎ̥" w:eastAsia="仿宋_GB2312" w:cs="Times New Roman"/>
          <w:sz w:val="32"/>
          <w:szCs w:val="32"/>
        </w:rPr>
        <w:t>万元，</w:t>
      </w:r>
      <w:r>
        <w:rPr>
          <w:rFonts w:ascii="仿宋_GB2312" w:hAnsi="ˎ̥" w:eastAsia="仿宋_GB2312" w:cs="仿宋_GB2312"/>
          <w:sz w:val="32"/>
          <w:szCs w:val="32"/>
        </w:rPr>
        <w:t>其中：</w:t>
      </w:r>
      <w:r>
        <w:rPr>
          <w:rFonts w:hint="eastAsia" w:ascii="仿宋_GB2312" w:hAnsi="ˎ̥" w:eastAsia="仿宋_GB2312" w:cs="仿宋_GB2312"/>
          <w:sz w:val="32"/>
          <w:szCs w:val="32"/>
          <w:lang w:val="en-US" w:eastAsia="zh-CN"/>
        </w:rPr>
        <w:t>工资福利支出51.38</w:t>
      </w:r>
      <w:r>
        <w:rPr>
          <w:rFonts w:hint="default" w:ascii="仿宋_GB2312" w:hAnsi="ˎ̥" w:eastAsia="仿宋_GB2312" w:cs="仿宋_GB2312"/>
          <w:sz w:val="32"/>
          <w:szCs w:val="32"/>
        </w:rPr>
        <w:t>万元，</w:t>
      </w:r>
      <w:r>
        <w:rPr>
          <w:rFonts w:hint="eastAsia" w:ascii="仿宋_GB2312" w:hAnsi="ˎ̥" w:eastAsia="仿宋_GB2312" w:cs="仿宋_GB2312"/>
          <w:sz w:val="32"/>
          <w:szCs w:val="32"/>
          <w:lang w:val="en-US" w:eastAsia="zh-CN"/>
        </w:rPr>
        <w:t>主要包括：基本工资、津贴补贴、绩效工资、机关事业单位基本养老保险缴费、职业年金缴费、基本医疗保险缴费、公务员医疗补助缴费、其他社会保障缴费、住房公积金和医疗费</w:t>
      </w:r>
      <w:r>
        <w:rPr>
          <w:rFonts w:hint="eastAsia" w:ascii="仿宋_GB2312" w:hAnsi="ˎ̥" w:eastAsia="仿宋_GB2312" w:cs="仿宋_GB2312"/>
          <w:sz w:val="32"/>
          <w:szCs w:val="32"/>
          <w:lang w:eastAsia="zh-CN"/>
        </w:rPr>
        <w:t>；</w:t>
      </w:r>
      <w:r>
        <w:rPr>
          <w:rFonts w:hint="eastAsia" w:ascii="仿宋_GB2312" w:hAnsi="ˎ̥" w:eastAsia="仿宋_GB2312" w:cs="Times New Roman"/>
          <w:sz w:val="32"/>
          <w:szCs w:val="32"/>
          <w:lang w:val="en-US" w:eastAsia="zh-CN"/>
        </w:rPr>
        <w:t>商品和服务支出0.30</w:t>
      </w:r>
      <w:r>
        <w:rPr>
          <w:rFonts w:hint="eastAsia" w:ascii="仿宋_GB2312" w:hAnsi="ˎ̥" w:eastAsia="仿宋_GB2312" w:cs="Times New Roman"/>
          <w:sz w:val="32"/>
          <w:szCs w:val="32"/>
        </w:rPr>
        <w:t>万元，主要包括：</w:t>
      </w:r>
      <w:r>
        <w:rPr>
          <w:rFonts w:hint="eastAsia" w:ascii="仿宋_GB2312" w:hAnsi="ˎ̥" w:eastAsia="仿宋_GB2312" w:cs="Times New Roman"/>
          <w:sz w:val="32"/>
          <w:szCs w:val="32"/>
          <w:lang w:val="en-US" w:eastAsia="zh-CN"/>
        </w:rPr>
        <w:t>邮电费。</w:t>
      </w:r>
    </w:p>
    <w:p w14:paraId="11ADF7B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6F67538A">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0505612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年度相比，政府性基金预算财政拨款支出增加0万元，增长0%，主要原因是没有该项预算。</w:t>
      </w:r>
    </w:p>
    <w:p w14:paraId="4D9F594C">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08C85F8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14:paraId="76560265">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777003E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14:paraId="6A8B5B4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1F62F337">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2321363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年度相比，国有资本经营预算财政拨款支出增加0万元，增长0%，主要原因是没有该项预算。</w:t>
      </w:r>
    </w:p>
    <w:p w14:paraId="08D84E8E">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045BD30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14:paraId="041AC046">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4258145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14:paraId="7682B560">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九、财政拨款“三公”经费支出决算情况说明</w:t>
      </w:r>
    </w:p>
    <w:p w14:paraId="4483EF86">
      <w:pPr>
        <w:ind w:firstLine="643" w:firstLineChars="200"/>
        <w:rPr>
          <w:rFonts w:ascii="楷体" w:hAnsi="楷体" w:eastAsia="楷体" w:cs="楷体"/>
          <w:sz w:val="32"/>
          <w:szCs w:val="32"/>
        </w:rPr>
      </w:pPr>
      <w:r>
        <w:rPr>
          <w:rFonts w:hint="eastAsia" w:ascii="楷体" w:hAnsi="楷体" w:eastAsia="楷体" w:cs="楷体"/>
          <w:b/>
          <w:sz w:val="32"/>
          <w:szCs w:val="32"/>
        </w:rPr>
        <w:t>（一）财政拨款“三公”经费支出决算总体情况说明。</w:t>
      </w:r>
    </w:p>
    <w:p w14:paraId="14A30A3B">
      <w:pPr>
        <w:ind w:firstLine="64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年度财政拨款“三公”经费支出预算为0万元，支出决算为0万元，完成预算的0%</w:t>
      </w:r>
      <w:r>
        <w:rPr>
          <w:rFonts w:hint="eastAsia" w:ascii="仿宋_GB2312" w:hAnsi="ˎ̥" w:eastAsia="仿宋_GB2312" w:cs="Times New Roman"/>
          <w:sz w:val="32"/>
          <w:szCs w:val="32"/>
          <w:lang w:eastAsia="zh-CN"/>
        </w:rPr>
        <w:t>，支出决算与预算数持平。</w:t>
      </w:r>
    </w:p>
    <w:p w14:paraId="43159FE3">
      <w:pPr>
        <w:ind w:firstLine="640"/>
        <w:rPr>
          <w:rFonts w:ascii="楷体" w:hAnsi="楷体" w:eastAsia="楷体" w:cs="楷体"/>
          <w:b/>
          <w:bCs/>
          <w:sz w:val="32"/>
          <w:szCs w:val="32"/>
        </w:rPr>
      </w:pPr>
      <w:r>
        <w:rPr>
          <w:rFonts w:hint="eastAsia" w:ascii="楷体" w:hAnsi="楷体" w:eastAsia="楷体" w:cs="楷体"/>
          <w:b/>
          <w:bCs/>
          <w:sz w:val="32"/>
          <w:szCs w:val="32"/>
        </w:rPr>
        <w:t>（二）财政拨款“三公”经费支出决算具体情况说明。</w:t>
      </w:r>
    </w:p>
    <w:p w14:paraId="782C6DB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年度财政拨款“三公”经费支出决算中，因公出国（境）费支出决算0万元，占0%；公务用车购置及运行费支出决算0万元，占0%；公务接待费支出决算0万元，占0%。具体情况如下：</w:t>
      </w:r>
    </w:p>
    <w:p w14:paraId="2CE3F9ED">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50243BF7">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70E0946D">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7DB3002F">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5A24783D">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6782EB8F">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0EE1A3A1">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4967A52B">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3425A3EB">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42CCA12B">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678D9505">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十</w:t>
      </w:r>
      <w:r>
        <w:rPr>
          <w:rFonts w:hint="eastAsia" w:ascii="黑体" w:hAnsi="黑体" w:eastAsia="黑体" w:cs="黑体"/>
          <w:bCs/>
          <w:sz w:val="32"/>
          <w:szCs w:val="32"/>
        </w:rPr>
        <w:t>、预算绩效情况说明。</w:t>
      </w:r>
    </w:p>
    <w:p w14:paraId="3F307E8D">
      <w:p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278ADC00">
      <w:pPr>
        <w:spacing w:line="578" w:lineRule="exact"/>
        <w:ind w:firstLine="960" w:firstLineChars="300"/>
        <w:rPr>
          <w:rFonts w:hint="default" w:ascii="楷体" w:hAnsi="楷体" w:eastAsia="楷体" w:cs="楷体"/>
          <w:b w:val="0"/>
          <w:bCs/>
          <w:color w:val="000000" w:themeColor="text1"/>
          <w:sz w:val="32"/>
          <w:szCs w:val="32"/>
          <w:lang w:val="en-US" w:eastAsia="zh-CN"/>
          <w14:textFill>
            <w14:solidFill>
              <w14:schemeClr w14:val="tx1"/>
            </w14:solidFill>
          </w14:textFill>
        </w:rPr>
      </w:pPr>
      <w:r>
        <w:rPr>
          <w:rFonts w:hint="eastAsia" w:ascii="楷体" w:hAnsi="楷体" w:eastAsia="楷体" w:cs="楷体"/>
          <w:b w:val="0"/>
          <w:bCs/>
          <w:color w:val="000000" w:themeColor="text1"/>
          <w:sz w:val="32"/>
          <w:szCs w:val="32"/>
          <w:lang w:val="en-US" w:eastAsia="zh-CN"/>
          <w14:textFill>
            <w14:solidFill>
              <w14:schemeClr w14:val="tx1"/>
            </w14:solidFill>
          </w14:textFill>
        </w:rPr>
        <w:t>无。</w:t>
      </w:r>
    </w:p>
    <w:p w14:paraId="235847F0">
      <w:pPr>
        <w:numPr>
          <w:ilvl w:val="0"/>
          <w:numId w:val="2"/>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bookmarkStart w:id="117" w:name="_GoBack"/>
      <w:bookmarkEnd w:id="117"/>
      <w:r>
        <w:rPr>
          <w:rFonts w:hint="eastAsia" w:ascii="楷体" w:hAnsi="楷体" w:eastAsia="楷体" w:cs="楷体"/>
          <w:b/>
          <w:color w:val="000000" w:themeColor="text1"/>
          <w:sz w:val="32"/>
          <w:szCs w:val="32"/>
          <w14:textFill>
            <w14:solidFill>
              <w14:schemeClr w14:val="tx1"/>
            </w14:solidFill>
          </w14:textFill>
        </w:rPr>
        <w:t>。</w:t>
      </w:r>
    </w:p>
    <w:p w14:paraId="2E619CD4">
      <w:pPr>
        <w:numPr>
          <w:ilvl w:val="0"/>
          <w:numId w:val="0"/>
        </w:numPr>
        <w:spacing w:line="578" w:lineRule="exact"/>
        <w:rPr>
          <w:rFonts w:hint="default" w:ascii="仿宋_GB2312" w:hAnsi="Times New Roman" w:eastAsia="仿宋_GB2312" w:cs="Times New Roman"/>
          <w:color w:val="FF0000"/>
          <w:sz w:val="32"/>
          <w:szCs w:val="32"/>
          <w:highlight w:val="none"/>
          <w:lang w:val="en-US" w:eastAsia="zh-CN"/>
        </w:rPr>
      </w:pP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r>
        <w:rPr>
          <w:rFonts w:hint="eastAsia" w:ascii="仿宋_GB2312" w:hAnsi="Times New Roman" w:eastAsia="仿宋_GB2312" w:cs="Times New Roman"/>
          <w:sz w:val="32"/>
          <w:szCs w:val="32"/>
          <w:highlight w:val="none"/>
          <w:lang w:val="en-US" w:eastAsia="zh-CN"/>
        </w:rPr>
        <w:t xml:space="preserve">为了改善学校办学条件，完善学校硬件设备，保障学校平稳发展满足学校教学需求，学校引进师资队伍；并购置专用设备等固定资产，该项目支出都从学校教育发展专项资金支出，学校存在经费缺口，还有设施设备未完成采购。 </w:t>
      </w:r>
      <w:r>
        <w:rPr>
          <w:rFonts w:hint="eastAsia" w:ascii="楷体" w:hAnsi="楷体" w:eastAsia="楷体" w:cs="楷体"/>
          <w:b/>
          <w:color w:val="000000" w:themeColor="text1"/>
          <w:sz w:val="32"/>
          <w:szCs w:val="32"/>
          <w:highlight w:val="none"/>
          <w:lang w:val="en-US" w:eastAsia="zh-CN"/>
          <w14:textFill>
            <w14:solidFill>
              <w14:schemeClr w14:val="tx1"/>
            </w14:solidFill>
          </w14:textFill>
        </w:rPr>
        <w:t xml:space="preserve"> </w:t>
      </w:r>
    </w:p>
    <w:p w14:paraId="0C5B2520">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财政评价项目绩效评价结果。</w:t>
      </w:r>
    </w:p>
    <w:p w14:paraId="24FB16D5">
      <w:pPr>
        <w:spacing w:line="578" w:lineRule="exact"/>
        <w:ind w:firstLine="1280" w:firstLineChars="4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良好。</w:t>
      </w:r>
    </w:p>
    <w:p w14:paraId="34FDAAD1">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部门评价项目绩效评价结果。</w:t>
      </w:r>
    </w:p>
    <w:p w14:paraId="7F3AA226">
      <w:pPr>
        <w:numPr>
          <w:ilvl w:val="0"/>
          <w:numId w:val="0"/>
        </w:numPr>
        <w:spacing w:line="578" w:lineRule="exact"/>
        <w:ind w:leftChars="200" w:firstLine="960" w:firstLineChars="3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仿宋_GB2312" w:hAnsi="Times New Roman" w:eastAsia="仿宋_GB2312" w:cs="Times New Roman"/>
          <w:sz w:val="32"/>
          <w:szCs w:val="32"/>
          <w:highlight w:val="none"/>
          <w:lang w:val="en-US" w:eastAsia="zh-CN"/>
        </w:rPr>
        <w:t>良好。</w:t>
      </w:r>
    </w:p>
    <w:p w14:paraId="641C41F6">
      <w:pPr>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十</w:t>
      </w:r>
      <w:r>
        <w:rPr>
          <w:rFonts w:hint="eastAsia" w:ascii="黑体" w:hAnsi="黑体" w:eastAsia="黑体" w:cs="黑体"/>
          <w:bCs/>
          <w:sz w:val="32"/>
          <w:szCs w:val="32"/>
          <w:highlight w:val="none"/>
          <w:lang w:val="en-US" w:eastAsia="zh-CN"/>
        </w:rPr>
        <w:t>一</w:t>
      </w:r>
      <w:r>
        <w:rPr>
          <w:rFonts w:hint="eastAsia" w:ascii="黑体" w:hAnsi="黑体" w:eastAsia="黑体" w:cs="黑体"/>
          <w:bCs/>
          <w:sz w:val="32"/>
          <w:szCs w:val="32"/>
          <w:highlight w:val="none"/>
        </w:rPr>
        <w:t>、其他重要事项情况说明。</w:t>
      </w:r>
    </w:p>
    <w:p w14:paraId="4667723C">
      <w:pPr>
        <w:ind w:firstLine="643" w:firstLineChars="200"/>
        <w:rPr>
          <w:rFonts w:ascii="楷体" w:hAnsi="楷体" w:eastAsia="楷体" w:cs="楷体"/>
          <w:b/>
          <w:sz w:val="32"/>
          <w:szCs w:val="32"/>
        </w:rPr>
      </w:pPr>
      <w:bookmarkStart w:id="99" w:name="_Toc15565_WPSOffice_Level2"/>
      <w:bookmarkStart w:id="100" w:name="_Toc15262_WPSOffice_Level2"/>
      <w:bookmarkStart w:id="101" w:name="_Toc32639_WPSOffice_Level2"/>
      <w:bookmarkStart w:id="102" w:name="_Toc5978_WPSOffice_Level2"/>
      <w:bookmarkStart w:id="103" w:name="_Toc18325_WPSOffice_Level2"/>
      <w:bookmarkStart w:id="104" w:name="_Toc23598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6D1ED6AB">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第八幼儿园</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14:paraId="28CF7AF3">
      <w:pPr>
        <w:ind w:firstLine="643" w:firstLineChars="200"/>
        <w:rPr>
          <w:rFonts w:ascii="楷体" w:hAnsi="楷体" w:eastAsia="楷体" w:cs="楷体"/>
          <w:b/>
          <w:sz w:val="32"/>
          <w:szCs w:val="32"/>
        </w:rPr>
      </w:pPr>
      <w:bookmarkStart w:id="105" w:name="_Toc13084_WPSOffice_Level2"/>
      <w:bookmarkStart w:id="106" w:name="_Toc25333_WPSOffice_Level2"/>
      <w:bookmarkStart w:id="107" w:name="_Toc23966_WPSOffice_Level2"/>
      <w:bookmarkStart w:id="108" w:name="_Toc32689_WPSOffice_Level2"/>
      <w:bookmarkStart w:id="109" w:name="_Toc3131_WPSOffice_Level2"/>
      <w:bookmarkStart w:id="110" w:name="_Toc30383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131CAB52">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第八幼儿园</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384B1F90">
      <w:pPr>
        <w:ind w:firstLine="643" w:firstLineChars="200"/>
        <w:rPr>
          <w:rFonts w:ascii="楷体" w:hAnsi="楷体" w:eastAsia="楷体" w:cs="楷体"/>
          <w:b/>
          <w:sz w:val="32"/>
          <w:szCs w:val="32"/>
        </w:rPr>
      </w:pPr>
      <w:bookmarkStart w:id="111" w:name="_Toc29584_WPSOffice_Level2"/>
      <w:bookmarkStart w:id="112" w:name="_Toc15129_WPSOffice_Level2"/>
      <w:bookmarkStart w:id="113" w:name="_Toc6016_WPSOffice_Level2"/>
      <w:bookmarkStart w:id="114" w:name="_Toc10902_WPSOffice_Level2"/>
      <w:bookmarkStart w:id="115" w:name="_Toc19989_WPSOffice_Level2"/>
      <w:bookmarkStart w:id="116" w:name="_Toc527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45DC180B">
      <w:pPr>
        <w:spacing w:line="578" w:lineRule="exact"/>
        <w:ind w:firstLine="640" w:firstLineChars="200"/>
        <w:rPr>
          <w:rFonts w:ascii="仿宋_GB2312" w:hAnsi="ˎ̥" w:eastAsia="仿宋_GB2312" w:cs="Times New Roman"/>
          <w:color w:val="auto"/>
          <w:sz w:val="32"/>
          <w:szCs w:val="32"/>
          <w:highlight w:val="yellow"/>
        </w:rPr>
      </w:pPr>
      <w:r>
        <w:rPr>
          <w:rFonts w:hint="eastAsia" w:ascii="仿宋_GB2312" w:hAnsi="ˎ̥" w:eastAsia="仿宋_GB2312" w:cs="Times New Roman"/>
          <w:color w:val="000000" w:themeColor="text1"/>
          <w:sz w:val="32"/>
          <w:szCs w:val="32"/>
          <w:highlight w:val="none"/>
          <w14:textFill>
            <w14:solidFill>
              <w14:schemeClr w14:val="tx1"/>
            </w14:solidFill>
          </w14:textFill>
        </w:rPr>
        <w:t>截至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年12月31日，</w:t>
      </w:r>
      <w:r>
        <w:rPr>
          <w:rFonts w:hint="eastAsia" w:ascii="仿宋_GB2312" w:hAnsi="ˎ̥" w:eastAsia="仿宋_GB2312" w:cs="Times New Roman"/>
          <w:color w:val="auto"/>
          <w:sz w:val="32"/>
          <w:szCs w:val="32"/>
          <w:highlight w:val="none"/>
        </w:rPr>
        <w:t>本部门占用房屋面积</w:t>
      </w:r>
      <w:r>
        <w:rPr>
          <w:rFonts w:hint="eastAsia" w:ascii="仿宋_GB2312" w:hAnsi="ˎ̥" w:eastAsia="仿宋_GB2312" w:cs="Times New Roman"/>
          <w:color w:val="auto"/>
          <w:sz w:val="32"/>
          <w:szCs w:val="32"/>
          <w:highlight w:val="none"/>
          <w:lang w:val="en-US" w:eastAsia="zh-CN"/>
        </w:rPr>
        <w:t>2940.14</w:t>
      </w:r>
      <w:r>
        <w:rPr>
          <w:rFonts w:hint="eastAsia" w:ascii="仿宋_GB2312" w:hAnsi="ˎ̥" w:eastAsia="仿宋_GB2312" w:cs="Times New Roman"/>
          <w:color w:val="auto"/>
          <w:sz w:val="32"/>
          <w:szCs w:val="32"/>
          <w:highlight w:val="none"/>
        </w:rPr>
        <w:t>平方米，其中：</w:t>
      </w:r>
      <w:r>
        <w:rPr>
          <w:rFonts w:hint="eastAsia" w:ascii="仿宋_GB2312" w:hAnsi="ˎ̥" w:eastAsia="仿宋_GB2312" w:cs="Times New Roman"/>
          <w:color w:val="auto"/>
          <w:sz w:val="32"/>
          <w:szCs w:val="32"/>
        </w:rPr>
        <w:t>办公用房</w:t>
      </w:r>
      <w:r>
        <w:rPr>
          <w:rFonts w:hint="eastAsia" w:ascii="仿宋_GB2312" w:hAnsi="ˎ̥" w:eastAsia="仿宋_GB2312" w:cs="Times New Roman"/>
          <w:color w:val="auto"/>
          <w:sz w:val="32"/>
          <w:szCs w:val="32"/>
          <w:lang w:val="en-US" w:eastAsia="zh-CN"/>
        </w:rPr>
        <w:t>132</w:t>
      </w:r>
      <w:r>
        <w:rPr>
          <w:rFonts w:hint="eastAsia" w:ascii="仿宋_GB2312" w:hAnsi="ˎ̥" w:eastAsia="仿宋_GB2312" w:cs="Times New Roman"/>
          <w:color w:val="auto"/>
          <w:sz w:val="32"/>
          <w:szCs w:val="32"/>
        </w:rPr>
        <w:t>平方米，业务用房</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平方米，其他（不含构筑物）0平方米。</w:t>
      </w:r>
    </w:p>
    <w:p w14:paraId="6ABEB89E">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54E8535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06C4FE3B">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4010F371">
      <w:pPr>
        <w:spacing w:line="578" w:lineRule="exact"/>
        <w:ind w:firstLine="640" w:firstLineChars="200"/>
        <w:rPr>
          <w:rFonts w:hint="eastAsia" w:ascii="仿宋_GB2312" w:hAnsi="ˎ̥" w:eastAsia="仿宋_GB2312" w:cs="Times New Roman"/>
          <w:sz w:val="32"/>
          <w:szCs w:val="32"/>
        </w:rPr>
      </w:pPr>
    </w:p>
    <w:p w14:paraId="4C8FDB77">
      <w:pPr>
        <w:spacing w:line="578" w:lineRule="exact"/>
        <w:ind w:firstLine="640" w:firstLineChars="200"/>
        <w:rPr>
          <w:rFonts w:hint="eastAsia" w:ascii="仿宋_GB2312" w:hAnsi="ˎ̥" w:eastAsia="仿宋_GB2312" w:cs="Times New Roman"/>
          <w:sz w:val="32"/>
          <w:szCs w:val="32"/>
        </w:rPr>
      </w:pPr>
    </w:p>
    <w:p w14:paraId="5C3AFB08">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第四部分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名词解释</w:t>
      </w:r>
      <w:r>
        <w:rPr>
          <w:rFonts w:hint="eastAsia" w:ascii="黑体" w:hAnsi="ˎ̥" w:eastAsia="黑体" w:cs="黑体"/>
          <w:kern w:val="0"/>
          <w:sz w:val="32"/>
          <w:szCs w:val="32"/>
          <w:shd w:val="clear" w:color="auto" w:fill="FFFFFF"/>
        </w:rPr>
        <w:t xml:space="preserve"> </w:t>
      </w:r>
    </w:p>
    <w:p w14:paraId="099D2BE6">
      <w:pPr>
        <w:keepNext w:val="0"/>
        <w:keepLines w:val="0"/>
        <w:widowControl/>
        <w:numPr>
          <w:ilvl w:val="0"/>
          <w:numId w:val="0"/>
        </w:numPr>
        <w:suppressLineNumbers w:val="0"/>
        <w:autoSpaceDE w:val="0"/>
        <w:autoSpaceDN/>
        <w:spacing w:before="0" w:beforeAutospacing="0" w:after="0" w:afterAutospacing="0"/>
        <w:ind w:leftChars="200" w:right="0" w:rightChars="0"/>
        <w:jc w:val="left"/>
        <w:rPr>
          <w:rFonts w:hint="default" w:ascii="仿宋_GB2312" w:hAnsi="ˎ̥" w:eastAsia="仿宋_GB2312" w:cs="仿宋_GB2312"/>
          <w:kern w:val="0"/>
          <w:sz w:val="32"/>
          <w:szCs w:val="32"/>
          <w:shd w:val="clear" w:color="auto" w:fill="FFFFFF"/>
        </w:rPr>
      </w:pPr>
      <w:r>
        <w:rPr>
          <w:rFonts w:hint="eastAsia" w:ascii="仿宋_GB2312" w:hAnsi="ˎ̥" w:eastAsia="仿宋_GB2312" w:cs="仿宋_GB2312"/>
          <w:kern w:val="0"/>
          <w:sz w:val="32"/>
          <w:szCs w:val="32"/>
          <w:shd w:val="clear" w:color="auto" w:fill="FFFFFF"/>
          <w:lang w:val="en-US" w:eastAsia="zh-CN"/>
        </w:rPr>
        <w:t>一、</w:t>
      </w:r>
      <w:r>
        <w:rPr>
          <w:rFonts w:hint="default" w:ascii="仿宋_GB2312" w:hAnsi="ˎ̥" w:eastAsia="仿宋_GB2312" w:cs="仿宋_GB2312"/>
          <w:kern w:val="0"/>
          <w:sz w:val="32"/>
          <w:szCs w:val="32"/>
          <w:shd w:val="clear" w:color="auto" w:fill="FFFFFF"/>
        </w:rPr>
        <w:t>财政拨款收入：指同级政府财政部门当年拨付的各类财政拨款。</w:t>
      </w:r>
    </w:p>
    <w:p w14:paraId="4D32425E">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二、上级补助收入：指事业单位从主管部门和上级单位取得的非财政补助收入。</w:t>
      </w:r>
    </w:p>
    <w:p w14:paraId="4DD83542">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三、事业收入：指事业单位开展专业业务活动及辅助活动取得的收入。</w:t>
      </w:r>
    </w:p>
    <w:p w14:paraId="7649D5A3">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四、经营收入：指事业单位在专业业务活动及其辅助活动之外开展非独立核算经营活动取得的收入。</w:t>
      </w:r>
    </w:p>
    <w:p w14:paraId="29A945E6">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五、附属单位上缴收入：指事业单位取得附属独立核算单位根据有关规定上缴的收入。</w:t>
      </w:r>
    </w:p>
    <w:p w14:paraId="195B4202">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六、其他收入：指除上述“财政拨款收入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上级补助收入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附属单位上缴收入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等以外的收入。</w:t>
      </w:r>
    </w:p>
    <w:p w14:paraId="61B2F790">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七、使用非财政拨款结余：指事业单位在当年的“财政拨款收入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其他收入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等不足以安排当年支出的情况下，使用非同级财政拨款结余资金弥补本年度收支缺口。</w:t>
      </w:r>
    </w:p>
    <w:p w14:paraId="4856BBA8">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八、年初结转和结余：指以前年度尚未完成、结转到本年按有关规定继续使用的资金，或项目已完成等产生的结余资金。</w:t>
      </w:r>
    </w:p>
    <w:p w14:paraId="3E8E40E4">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九、结余分配：指事业单位缴纳企业所得税以及从非财政拨款结余或经营结余中提取各类结余的情况。</w:t>
      </w:r>
    </w:p>
    <w:p w14:paraId="38DC69E4">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十、年末结转和结余：指本年度或以前年度预算安排、因客观条件发生变化无法按原计划实施，需要延迟到以后年度按有关规定继续使用的资金（不包括事业单位非财政拨款结余和专用结余）。</w:t>
      </w:r>
    </w:p>
    <w:p w14:paraId="22B4D0F3">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十一、基本支出：指为保障机构正常运转、完成日常工作任务而发生的人员支出和公用支出。</w:t>
      </w:r>
    </w:p>
    <w:p w14:paraId="2998658E">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十二、项目支出：指在基本支出之外为完成特定行政任务和事业发展目标所发生的支出。</w:t>
      </w:r>
    </w:p>
    <w:p w14:paraId="052257D0">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十三、经营支出：指事业单位在专业业务活动及其辅助活动之外开展非独立核算经营活动发生的支出。</w:t>
      </w:r>
    </w:p>
    <w:p w14:paraId="2A6FC3AA">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十四、“三公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经费：纳入本级财政预决算管理的</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086662E9">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4DC34FE8">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（注：支出功能分类的名词解释，各部门（单位）根据实际支出情况填列，可参阅财政部印发的《202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年政府收支分类科目》）</w:t>
      </w:r>
    </w:p>
    <w:p w14:paraId="6A216263">
      <w:pPr>
        <w:keepNext w:val="0"/>
        <w:keepLines w:val="0"/>
        <w:widowControl/>
        <w:suppressLineNumbers w:val="0"/>
        <w:autoSpaceDE w:val="0"/>
        <w:autoSpaceDN/>
        <w:spacing w:before="0" w:beforeAutospacing="0" w:after="0" w:afterAutospacing="0"/>
        <w:ind w:left="0" w:right="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w:t>
      </w:r>
    </w:p>
    <w:p w14:paraId="7D1573E8">
      <w:pPr>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 xml:space="preserve"> </w:t>
      </w:r>
    </w:p>
    <w:p w14:paraId="219A6B14">
      <w:pPr>
        <w:ind w:firstLine="420" w:firstLineChars="200"/>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
    <w:altName w:val="Times New Roman"/>
    <w:panose1 w:val="00000000000000000000"/>
    <w:charset w:val="00"/>
    <w:family w:val="modern"/>
    <w:pitch w:val="default"/>
    <w:sig w:usb0="00000000" w:usb1="00000000" w:usb2="00000000" w:usb3="00000000" w:csb0="0000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4F05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1D49683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D1A1B">
    <w:pPr>
      <w:pStyle w:val="2"/>
      <w:framePr w:wrap="around" w:vAnchor="text" w:hAnchor="margin" w:xAlign="center" w:y="1"/>
      <w:rPr>
        <w:rStyle w:val="6"/>
      </w:rPr>
    </w:pPr>
    <w:r>
      <w:fldChar w:fldCharType="begin"/>
    </w:r>
    <w:r>
      <w:rPr>
        <w:rStyle w:val="6"/>
      </w:rPr>
      <w:instrText xml:space="preserve">PAGE  </w:instrText>
    </w:r>
    <w:r>
      <w:fldChar w:fldCharType="end"/>
    </w:r>
  </w:p>
  <w:p w14:paraId="1E63357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4Y2UwYjU4Y2MwMjI3ZTMyYjAwNjBlY2ExMmIyZDgifQ=="/>
  </w:docVars>
  <w:rsids>
    <w:rsidRoot w:val="00D32ACE"/>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12F55FD"/>
    <w:rsid w:val="02147E55"/>
    <w:rsid w:val="04807AAD"/>
    <w:rsid w:val="058244AF"/>
    <w:rsid w:val="05E6585C"/>
    <w:rsid w:val="062E0297"/>
    <w:rsid w:val="088415B7"/>
    <w:rsid w:val="09531326"/>
    <w:rsid w:val="09C70460"/>
    <w:rsid w:val="0A31526B"/>
    <w:rsid w:val="0C6F2338"/>
    <w:rsid w:val="0DDA15B3"/>
    <w:rsid w:val="111A5368"/>
    <w:rsid w:val="13C419AD"/>
    <w:rsid w:val="14D918C2"/>
    <w:rsid w:val="17124C72"/>
    <w:rsid w:val="19401F64"/>
    <w:rsid w:val="1B08268A"/>
    <w:rsid w:val="1B084650"/>
    <w:rsid w:val="1BFC49C1"/>
    <w:rsid w:val="1C9D12CE"/>
    <w:rsid w:val="1D686ACF"/>
    <w:rsid w:val="1DB418AE"/>
    <w:rsid w:val="1DCB4F1E"/>
    <w:rsid w:val="1E3E4F0A"/>
    <w:rsid w:val="1F5A1F48"/>
    <w:rsid w:val="20106F09"/>
    <w:rsid w:val="20E36D41"/>
    <w:rsid w:val="210461B3"/>
    <w:rsid w:val="21371D65"/>
    <w:rsid w:val="21593C9F"/>
    <w:rsid w:val="22C20BF1"/>
    <w:rsid w:val="242B4E3C"/>
    <w:rsid w:val="24AB78CB"/>
    <w:rsid w:val="2562714D"/>
    <w:rsid w:val="25BA09E5"/>
    <w:rsid w:val="263712CE"/>
    <w:rsid w:val="26EF22FD"/>
    <w:rsid w:val="27E16118"/>
    <w:rsid w:val="28091E43"/>
    <w:rsid w:val="28EB477E"/>
    <w:rsid w:val="2AC82E3D"/>
    <w:rsid w:val="2E007A1F"/>
    <w:rsid w:val="2F441FA2"/>
    <w:rsid w:val="2F7F4E2C"/>
    <w:rsid w:val="2FD70B30"/>
    <w:rsid w:val="2FF355F6"/>
    <w:rsid w:val="30C023C7"/>
    <w:rsid w:val="319F04F9"/>
    <w:rsid w:val="32550EA6"/>
    <w:rsid w:val="32D570E6"/>
    <w:rsid w:val="34EA2D09"/>
    <w:rsid w:val="34F00005"/>
    <w:rsid w:val="357021CB"/>
    <w:rsid w:val="39AD76D2"/>
    <w:rsid w:val="3A981EFF"/>
    <w:rsid w:val="3D2370C8"/>
    <w:rsid w:val="3D9D05CF"/>
    <w:rsid w:val="418A6015"/>
    <w:rsid w:val="42982C27"/>
    <w:rsid w:val="43F85575"/>
    <w:rsid w:val="4439397F"/>
    <w:rsid w:val="44E66991"/>
    <w:rsid w:val="44F54D66"/>
    <w:rsid w:val="46F506BE"/>
    <w:rsid w:val="4703102D"/>
    <w:rsid w:val="4705491E"/>
    <w:rsid w:val="47870662"/>
    <w:rsid w:val="48360F8E"/>
    <w:rsid w:val="49255820"/>
    <w:rsid w:val="495A19E6"/>
    <w:rsid w:val="4B652F52"/>
    <w:rsid w:val="4C920D4B"/>
    <w:rsid w:val="4E200897"/>
    <w:rsid w:val="50636B18"/>
    <w:rsid w:val="50F0622B"/>
    <w:rsid w:val="55CE46B5"/>
    <w:rsid w:val="55F5398B"/>
    <w:rsid w:val="55F8457D"/>
    <w:rsid w:val="58067E17"/>
    <w:rsid w:val="5814296E"/>
    <w:rsid w:val="59C82A51"/>
    <w:rsid w:val="59EC62F0"/>
    <w:rsid w:val="5A8E6A07"/>
    <w:rsid w:val="5A99355E"/>
    <w:rsid w:val="5AA2763D"/>
    <w:rsid w:val="5B461090"/>
    <w:rsid w:val="5CCB4073"/>
    <w:rsid w:val="5D200291"/>
    <w:rsid w:val="5DE34B5D"/>
    <w:rsid w:val="5EA615EA"/>
    <w:rsid w:val="5ECD1A47"/>
    <w:rsid w:val="6111431E"/>
    <w:rsid w:val="6730746C"/>
    <w:rsid w:val="67584625"/>
    <w:rsid w:val="6A170CCD"/>
    <w:rsid w:val="6A22372A"/>
    <w:rsid w:val="6B675C3C"/>
    <w:rsid w:val="6E340F38"/>
    <w:rsid w:val="70382752"/>
    <w:rsid w:val="70AA07D0"/>
    <w:rsid w:val="719D784E"/>
    <w:rsid w:val="71EE20C6"/>
    <w:rsid w:val="720B1B57"/>
    <w:rsid w:val="722C0C7D"/>
    <w:rsid w:val="733E5273"/>
    <w:rsid w:val="74496EBF"/>
    <w:rsid w:val="750254F7"/>
    <w:rsid w:val="753F4E19"/>
    <w:rsid w:val="754D5B45"/>
    <w:rsid w:val="75621993"/>
    <w:rsid w:val="75EF7DDE"/>
    <w:rsid w:val="770D1A50"/>
    <w:rsid w:val="777C3B73"/>
    <w:rsid w:val="778E5E45"/>
    <w:rsid w:val="77D76E8D"/>
    <w:rsid w:val="77E139D3"/>
    <w:rsid w:val="780C50C4"/>
    <w:rsid w:val="79A0064C"/>
    <w:rsid w:val="7AD503D1"/>
    <w:rsid w:val="7AFC13F7"/>
    <w:rsid w:val="7B7C3913"/>
    <w:rsid w:val="7CB17BE3"/>
    <w:rsid w:val="7FF229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4558</Words>
  <Characters>4895</Characters>
  <Lines>51</Lines>
  <Paragraphs>14</Paragraphs>
  <TotalTime>0</TotalTime>
  <ScaleCrop>false</ScaleCrop>
  <LinksUpToDate>false</LinksUpToDate>
  <CharactersWithSpaces>4959</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菠萝女士</cp:lastModifiedBy>
  <dcterms:modified xsi:type="dcterms:W3CDTF">2024-10-09T08:28:00Z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B961BCC5FA7B4C6595E5CA443A1AFCA6_13</vt:lpwstr>
  </property>
</Properties>
</file>