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1DF00B5">
      <w:pPr>
        <w:rPr>
          <w:rFonts w:ascii="黑体" w:hAnsi="宋体" w:eastAsia="黑体" w:cs="Times New Roman"/>
          <w:sz w:val="32"/>
          <w:szCs w:val="32"/>
        </w:rPr>
      </w:pPr>
      <w:r>
        <w:rPr>
          <w:rFonts w:hint="eastAsia" w:ascii="黑体" w:hAnsi="宋体" w:eastAsia="黑体" w:cs="Times New Roman"/>
          <w:sz w:val="32"/>
          <w:szCs w:val="32"/>
        </w:rPr>
        <w:t>附件1</w:t>
      </w:r>
    </w:p>
    <w:p w14:paraId="09EE6FDA">
      <w:pPr>
        <w:rPr>
          <w:rFonts w:ascii="宋体" w:hAnsi="宋体" w:eastAsia="宋体" w:cs="Times New Roman"/>
          <w:sz w:val="30"/>
          <w:szCs w:val="30"/>
        </w:rPr>
      </w:pPr>
    </w:p>
    <w:p w14:paraId="6B71739B">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eastAsia="zh-CN"/>
        </w:rPr>
        <w:t>回新逸夫</w:t>
      </w:r>
      <w:r>
        <w:rPr>
          <w:rFonts w:hint="eastAsia" w:ascii="黑体" w:hAnsi="ˎ̥" w:eastAsia="黑体" w:cs="Times New Roman"/>
          <w:sz w:val="44"/>
          <w:szCs w:val="44"/>
        </w:rPr>
        <w:t>小学20</w:t>
      </w:r>
      <w:r>
        <w:rPr>
          <w:rFonts w:hint="eastAsia" w:ascii="黑体" w:hAnsi="ˎ̥" w:eastAsia="黑体" w:cs="Times New Roman"/>
          <w:sz w:val="44"/>
          <w:szCs w:val="44"/>
          <w:lang w:val="en-US" w:eastAsia="zh-CN"/>
        </w:rPr>
        <w:t>23</w:t>
      </w:r>
      <w:r>
        <w:rPr>
          <w:rFonts w:hint="eastAsia" w:ascii="黑体" w:hAnsi="ˎ̥" w:eastAsia="黑体" w:cs="Times New Roman"/>
          <w:sz w:val="44"/>
          <w:szCs w:val="44"/>
        </w:rPr>
        <w:t>年度</w:t>
      </w:r>
    </w:p>
    <w:p w14:paraId="78510D74">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1273F8B0">
      <w:pPr>
        <w:jc w:val="center"/>
        <w:rPr>
          <w:rFonts w:ascii="黑体" w:hAnsi="ˎ̥" w:eastAsia="黑体" w:cs="Times New Roman"/>
          <w:b/>
          <w:sz w:val="32"/>
          <w:szCs w:val="32"/>
        </w:rPr>
      </w:pPr>
    </w:p>
    <w:p w14:paraId="15095B91">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0AAF7C34">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eastAsia="zh-CN"/>
        </w:rPr>
        <w:t>回新逸夫</w:t>
      </w:r>
      <w:r>
        <w:rPr>
          <w:rFonts w:hint="eastAsia" w:ascii="黑体" w:hAnsi="ˎ̥" w:eastAsia="黑体" w:cs="Times New Roman"/>
          <w:kern w:val="0"/>
          <w:sz w:val="32"/>
          <w:szCs w:val="32"/>
        </w:rPr>
        <w:t>小学概况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272A03D3">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6D78A426">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0AB77CC">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eastAsia="zh-CN"/>
        </w:rPr>
        <w:t>回新逸夫</w:t>
      </w:r>
      <w:r>
        <w:rPr>
          <w:rFonts w:hint="eastAsia" w:ascii="黑体" w:hAnsi="ˎ̥" w:eastAsia="黑体" w:cs="Times New Roman"/>
          <w:kern w:val="0"/>
          <w:sz w:val="32"/>
          <w:szCs w:val="32"/>
        </w:rPr>
        <w:t>小学202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058C41C">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63E7A5">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5E3297D">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E0C4334">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BA7CB62">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2456660">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82BEB81">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7FBF93F">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0FEEA58">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BA81A45">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08022BC7">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396A071C">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eastAsia="zh-CN"/>
        </w:rPr>
        <w:t>回新逸夫</w:t>
      </w:r>
      <w:r>
        <w:rPr>
          <w:rFonts w:hint="eastAsia" w:ascii="黑体" w:hAnsi="黑体" w:eastAsia="黑体" w:cs="Times New Roman"/>
          <w:kern w:val="0"/>
          <w:sz w:val="32"/>
          <w:szCs w:val="32"/>
        </w:rPr>
        <w:t>小学</w:t>
      </w:r>
      <w:r>
        <w:rPr>
          <w:rFonts w:hint="eastAsia" w:ascii="黑体" w:hAnsi="ˎ̥" w:eastAsia="黑体" w:cs="Times New Roman"/>
          <w:kern w:val="0"/>
          <w:sz w:val="32"/>
          <w:szCs w:val="32"/>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6AF4FE8E">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68ADC3A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1E642B7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79A9E4C9">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4D645461">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28B1F421">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7EFE92E">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3E63662">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4F551B15">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746B896A">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3B5C7ED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6E0489DA">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1230D566">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7B19C96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AEB7FEB">
      <w:pPr>
        <w:widowControl/>
        <w:tabs>
          <w:tab w:val="right" w:leader="dot" w:pos="8306"/>
        </w:tabs>
        <w:jc w:val="left"/>
        <w:rPr>
          <w:rFonts w:hint="eastAsia" w:ascii="仿宋" w:hAnsi="仿宋" w:eastAsia="仿宋" w:cs="仿宋"/>
          <w:kern w:val="0"/>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0</w:t>
      </w:r>
    </w:p>
    <w:p w14:paraId="49F0FD4F">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40714ABA">
      <w:pPr>
        <w:widowControl/>
        <w:tabs>
          <w:tab w:val="right" w:leader="dot" w:pos="8306"/>
        </w:tabs>
        <w:jc w:val="left"/>
        <w:rPr>
          <w:rFonts w:hint="eastAsia" w:ascii="Times New Roman" w:hAnsi="Times New Roman" w:eastAsia="宋体" w:cs="Times New Roman"/>
          <w:kern w:val="0"/>
          <w:sz w:val="32"/>
          <w:szCs w:val="32"/>
          <w:lang w:eastAsia="zh-CN"/>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lang w:val="en-US" w:eastAsia="zh-CN"/>
        </w:rPr>
        <w:t>4</w:t>
      </w:r>
    </w:p>
    <w:p w14:paraId="4747016D">
      <w:pPr>
        <w:jc w:val="left"/>
        <w:rPr>
          <w:rFonts w:ascii="黑体" w:hAnsi="黑体" w:eastAsia="黑体" w:cs="黑体"/>
          <w:sz w:val="32"/>
          <w:szCs w:val="32"/>
        </w:rPr>
      </w:pPr>
    </w:p>
    <w:p w14:paraId="4D1D0267">
      <w:pPr>
        <w:jc w:val="center"/>
        <w:rPr>
          <w:rFonts w:ascii="黑体" w:hAnsi="ˎ̥" w:eastAsia="黑体" w:cs="Times New Roman"/>
          <w:b/>
          <w:sz w:val="32"/>
          <w:szCs w:val="32"/>
        </w:rPr>
      </w:pPr>
    </w:p>
    <w:p w14:paraId="269181BC">
      <w:pPr>
        <w:jc w:val="center"/>
        <w:rPr>
          <w:rFonts w:ascii="黑体" w:hAnsi="ˎ̥" w:eastAsia="黑体" w:cs="Times New Roman"/>
          <w:sz w:val="32"/>
          <w:szCs w:val="32"/>
        </w:rPr>
      </w:pPr>
      <w:bookmarkStart w:id="2" w:name="_Toc10049_WPSOffice_Level1"/>
      <w:bookmarkStart w:id="3" w:name="_Toc23465_WPSOffice_Level1"/>
      <w:bookmarkStart w:id="4" w:name="_Toc1704_WPSOffice_Level1"/>
      <w:bookmarkStart w:id="5" w:name="_Toc22941_WPSOffice_Level1"/>
      <w:bookmarkStart w:id="6" w:name="_Toc32433_WPSOffice_Level1"/>
      <w:bookmarkStart w:id="7" w:name="_Toc10720_WPSOffice_Level1"/>
      <w:bookmarkStart w:id="8" w:name="_Toc24238_WPSOffice_Level2"/>
      <w:bookmarkStart w:id="9" w:name="_Toc14159_WPSOffice_Level2"/>
      <w:bookmarkStart w:id="10" w:name="_Toc32622_WPSOffice_Level2"/>
      <w:bookmarkStart w:id="11" w:name="_Toc20205_WPSOffice_Level2"/>
      <w:bookmarkStart w:id="12" w:name="_Toc20274_WPSOffice_Level2"/>
      <w:bookmarkStart w:id="13" w:name="_Toc26580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eastAsia="zh-CN"/>
        </w:rPr>
        <w:t>回新逸夫</w:t>
      </w:r>
      <w:r>
        <w:rPr>
          <w:rFonts w:hint="eastAsia" w:ascii="黑体" w:hAnsi="ˎ̥" w:eastAsia="黑体" w:cs="Times New Roman"/>
          <w:sz w:val="32"/>
          <w:szCs w:val="32"/>
        </w:rPr>
        <w:t>小学</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42CD17BA">
      <w:pPr>
        <w:ind w:firstLine="640" w:firstLineChars="200"/>
        <w:rPr>
          <w:rFonts w:ascii="楷体" w:hAnsi="楷体" w:eastAsia="楷体" w:cs="楷体"/>
          <w:sz w:val="32"/>
          <w:szCs w:val="32"/>
        </w:rPr>
      </w:pPr>
    </w:p>
    <w:p w14:paraId="4029673A">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4EBD13C8">
      <w:pPr>
        <w:pStyle w:val="10"/>
        <w:ind w:firstLineChars="0"/>
        <w:jc w:val="left"/>
        <w:rPr>
          <w:rFonts w:ascii="黑体" w:hAnsi="黑体" w:eastAsia="黑体" w:cs="仿宋_GB2312"/>
          <w:sz w:val="32"/>
          <w:szCs w:val="32"/>
        </w:rPr>
      </w:pPr>
      <w:bookmarkStart w:id="14" w:name="_Toc4833_WPSOffice_Level2"/>
      <w:bookmarkStart w:id="15" w:name="_Toc17796_WPSOffice_Level2"/>
      <w:bookmarkStart w:id="16" w:name="_Toc24059_WPSOffice_Level2"/>
      <w:bookmarkStart w:id="17" w:name="_Toc24474_WPSOffice_Level2"/>
      <w:bookmarkStart w:id="18" w:name="_Toc6572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1BB90EE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5A4EBB3B">
      <w:pPr>
        <w:ind w:firstLine="640" w:firstLineChars="200"/>
        <w:rPr>
          <w:rFonts w:ascii="仿宋_GB2312" w:hAnsi="ˎ̥" w:eastAsia="仿宋_GB2312" w:cs="Times New Roman"/>
          <w:sz w:val="32"/>
          <w:szCs w:val="32"/>
        </w:rPr>
      </w:pPr>
      <w:bookmarkStart w:id="19" w:name="_Toc28253_WPSOffice_Level1"/>
      <w:bookmarkStart w:id="20" w:name="_Toc15521_WPSOffice_Level1"/>
      <w:bookmarkStart w:id="21" w:name="_Toc30690_WPSOffice_Level1"/>
      <w:bookmarkStart w:id="22" w:name="_Toc8164_WPSOffice_Level1"/>
      <w:bookmarkStart w:id="23" w:name="_Toc6234_WPSOffice_Level1"/>
      <w:bookmarkStart w:id="24" w:name="_Toc30451_WPSOffice_Level1"/>
      <w:bookmarkStart w:id="25" w:name="_Toc6211_WPSOffice_Level2"/>
      <w:bookmarkStart w:id="26" w:name="_Toc32695_WPSOffice_Level2"/>
      <w:bookmarkStart w:id="27" w:name="_Toc8867_WPSOffice_Level2"/>
      <w:bookmarkStart w:id="28" w:name="_Toc11518_WPSOffice_Level2"/>
      <w:bookmarkStart w:id="29" w:name="_Toc4029_WPSOffice_Level2"/>
      <w:bookmarkStart w:id="30" w:name="_Toc32472_WPSOffice_Level2"/>
      <w:r>
        <w:rPr>
          <w:rFonts w:hint="eastAsia" w:ascii="仿宋_GB2312" w:hAnsi="ˎ̥" w:eastAsia="仿宋_GB2312" w:cs="Times New Roman"/>
          <w:sz w:val="32"/>
          <w:szCs w:val="32"/>
        </w:rPr>
        <w:t>单位内设机构即包括：</w:t>
      </w:r>
    </w:p>
    <w:p w14:paraId="736C54F8">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0E67B985">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7062C7FF">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564B38AB">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1AAEF2E5">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297FCC5A">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6A5E0420">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eastAsia="zh-CN"/>
        </w:rPr>
        <w:t>回新逸夫</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71CFFDC4">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3C1B423B">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1E249629">
      <w:pPr>
        <w:ind w:firstLine="645"/>
        <w:rPr>
          <w:rFonts w:ascii="黑体" w:hAnsi="黑体" w:eastAsia="黑体" w:cs="黑体"/>
          <w:sz w:val="32"/>
          <w:szCs w:val="32"/>
        </w:rPr>
      </w:pPr>
      <w:bookmarkStart w:id="41" w:name="_Toc3262_WPSOffice_Level2"/>
      <w:bookmarkStart w:id="42" w:name="_Toc17626_WPSOffice_Level2"/>
      <w:bookmarkStart w:id="43" w:name="_Toc17858_WPSOffice_Level2"/>
      <w:bookmarkStart w:id="44" w:name="_Toc5489_WPSOffice_Level2"/>
      <w:bookmarkStart w:id="45" w:name="_Toc14658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3216E865">
      <w:pPr>
        <w:ind w:firstLine="645"/>
        <w:rPr>
          <w:rFonts w:ascii="黑体" w:hAnsi="黑体" w:eastAsia="黑体" w:cs="黑体"/>
          <w:sz w:val="32"/>
          <w:szCs w:val="32"/>
        </w:rPr>
      </w:pPr>
      <w:bookmarkStart w:id="47" w:name="_Toc13701_WPSOffice_Level2"/>
      <w:bookmarkStart w:id="48" w:name="_Toc23591_WPSOffice_Level2"/>
      <w:bookmarkStart w:id="49" w:name="_Toc21415_WPSOffice_Level2"/>
      <w:bookmarkStart w:id="50" w:name="_Toc7988_WPSOffice_Level2"/>
      <w:bookmarkStart w:id="51" w:name="_Toc4265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293666C3">
      <w:pPr>
        <w:ind w:firstLine="645"/>
        <w:rPr>
          <w:rFonts w:ascii="黑体" w:hAnsi="黑体" w:eastAsia="黑体" w:cs="黑体"/>
          <w:sz w:val="32"/>
          <w:szCs w:val="32"/>
        </w:rPr>
      </w:pPr>
      <w:bookmarkStart w:id="53" w:name="_Toc7879_WPSOffice_Level2"/>
      <w:bookmarkStart w:id="54" w:name="_Toc25166_WPSOffice_Level2"/>
      <w:bookmarkStart w:id="55" w:name="_Toc22783_WPSOffice_Level2"/>
      <w:bookmarkStart w:id="56" w:name="_Toc2382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76752A5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7765DFFE">
      <w:pPr>
        <w:ind w:firstLine="645"/>
        <w:rPr>
          <w:rFonts w:ascii="黑体" w:hAnsi="黑体" w:eastAsia="黑体" w:cs="黑体"/>
          <w:sz w:val="32"/>
          <w:szCs w:val="32"/>
        </w:rPr>
      </w:pPr>
      <w:bookmarkStart w:id="59" w:name="_Toc17833_WPSOffice_Level2"/>
      <w:bookmarkStart w:id="60" w:name="_Toc5343_WPSOffice_Level2"/>
      <w:bookmarkStart w:id="61" w:name="_Toc8373_WPSOffice_Level2"/>
      <w:bookmarkStart w:id="62" w:name="_Toc25362_WPSOffice_Level2"/>
      <w:bookmarkStart w:id="63" w:name="_Toc17283_WPSOffice_Level2"/>
      <w:bookmarkStart w:id="64" w:name="_Toc263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3523B191">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00880DC2">
      <w:pPr>
        <w:ind w:left="1118" w:leftChars="304" w:hanging="480" w:hangingChars="150"/>
        <w:rPr>
          <w:rFonts w:ascii="黑体" w:hAnsi="黑体" w:eastAsia="黑体" w:cs="黑体"/>
          <w:sz w:val="32"/>
          <w:szCs w:val="32"/>
        </w:rPr>
      </w:pPr>
      <w:bookmarkStart w:id="65" w:name="_Toc1533_WPSOffice_Level2"/>
      <w:bookmarkStart w:id="66" w:name="_Toc6020_WPSOffice_Level2"/>
      <w:bookmarkStart w:id="67" w:name="_Toc13345_WPSOffice_Level2"/>
      <w:bookmarkStart w:id="68" w:name="_Toc5594_WPSOffice_Level2"/>
      <w:bookmarkStart w:id="69" w:name="_Toc11799_WPSOffice_Level2"/>
      <w:bookmarkStart w:id="70" w:name="_Toc2131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140ACEFC">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288E1975">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3BC310C8">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2E2026DE">
      <w:pPr>
        <w:rPr>
          <w:rFonts w:ascii="黑体" w:hAnsi="黑体" w:eastAsia="黑体" w:cs="黑体"/>
          <w:sz w:val="32"/>
          <w:szCs w:val="32"/>
        </w:rPr>
      </w:pPr>
      <w:bookmarkStart w:id="71" w:name="_Toc29886_WPSOffice_Level2"/>
      <w:bookmarkStart w:id="72" w:name="_Toc1820_WPSOffice_Level2"/>
      <w:bookmarkStart w:id="73" w:name="_Toc9377_WPSOffice_Level2"/>
      <w:bookmarkStart w:id="74" w:name="_Toc19961_WPSOffice_Level2"/>
      <w:r>
        <w:rPr>
          <w:rFonts w:hint="eastAsia" w:ascii="黑体" w:hAnsi="黑体" w:eastAsia="黑体" w:cs="黑体"/>
          <w:sz w:val="32"/>
          <w:szCs w:val="32"/>
        </w:rPr>
        <w:t xml:space="preserve">    九、一般公共预算财政拨款“三公”经费支出决算</w:t>
      </w:r>
    </w:p>
    <w:p w14:paraId="314172A0">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022451EF">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5C49C880">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5F5DA86E">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5A8E9CED">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6CDACD77">
      <w:pPr>
        <w:rPr>
          <w:rFonts w:ascii="黑体" w:hAnsi="黑体" w:eastAsia="黑体" w:cs="黑体"/>
          <w:sz w:val="32"/>
          <w:szCs w:val="32"/>
        </w:rPr>
      </w:pPr>
    </w:p>
    <w:p w14:paraId="52D33FF1">
      <w:pPr>
        <w:jc w:val="center"/>
        <w:rPr>
          <w:rFonts w:ascii="黑体" w:hAnsi="ˎ̥" w:eastAsia="黑体" w:cs="Times New Roman"/>
          <w:sz w:val="32"/>
          <w:szCs w:val="32"/>
        </w:rPr>
      </w:pPr>
      <w:bookmarkStart w:id="75" w:name="_Toc29683_WPSOffice_Level1"/>
      <w:bookmarkStart w:id="76" w:name="_Toc31264_WPSOffice_Level1"/>
      <w:bookmarkStart w:id="77" w:name="_Toc16686_WPSOffice_Level1"/>
      <w:bookmarkStart w:id="78" w:name="_Toc27590_WPSOffice_Level1"/>
      <w:bookmarkStart w:id="79" w:name="_Toc28629_WPSOffice_Level1"/>
      <w:bookmarkStart w:id="80" w:name="_Toc4402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eastAsia="zh-CN"/>
        </w:rPr>
        <w:t>回新逸夫小学</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1E482151">
      <w:pPr>
        <w:jc w:val="center"/>
        <w:rPr>
          <w:rFonts w:ascii="黑体" w:hAnsi="ˎ̥" w:eastAsia="黑体" w:cs="Times New Roman"/>
          <w:sz w:val="32"/>
          <w:szCs w:val="32"/>
        </w:rPr>
      </w:pPr>
    </w:p>
    <w:p w14:paraId="029EDDE6">
      <w:pPr>
        <w:numPr>
          <w:ilvl w:val="0"/>
          <w:numId w:val="0"/>
        </w:numPr>
        <w:ind w:firstLine="640" w:firstLineChars="200"/>
        <w:rPr>
          <w:rFonts w:hint="eastAsia" w:ascii="仿宋_GB2312" w:hAnsi="ˎ̥" w:eastAsia="仿宋_GB2312" w:cs="Times New Roman"/>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收入支出决算总体情况说明</w:t>
      </w:r>
    </w:p>
    <w:p w14:paraId="76DE4652">
      <w:pPr>
        <w:numPr>
          <w:ilvl w:val="0"/>
          <w:numId w:val="0"/>
        </w:numPr>
        <w:rPr>
          <w:rFonts w:hint="eastAsia" w:ascii="仿宋_GB2312" w:hAnsi="ˎ̥" w:eastAsia="仿宋_GB2312" w:cs="Times New Roman"/>
          <w:sz w:val="32"/>
          <w:szCs w:val="32"/>
        </w:rPr>
      </w:pPr>
      <w:r>
        <w:rPr>
          <w:rFonts w:hint="eastAsia" w:ascii="仿宋_GB2312" w:hAnsi="ˎ̥" w:eastAsia="仿宋_GB2312" w:cs="Times New Roman"/>
          <w:sz w:val="32"/>
          <w:szCs w:val="32"/>
        </w:rPr>
        <w:t xml:space="preserve"> 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年度收入总计</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万元，支出总计</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247.67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增长29.93</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247.67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增长29.93</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rPr>
        <w:t>较</w:t>
      </w:r>
      <w:r>
        <w:rPr>
          <w:rFonts w:hint="default" w:ascii="仿宋_GB2312" w:hAnsi="ˎ̥" w:eastAsia="仿宋_GB2312" w:cs="Times New Roman"/>
          <w:sz w:val="32"/>
          <w:szCs w:val="32"/>
          <w:lang w:val="en-US"/>
        </w:rPr>
        <w:t>202</w:t>
      </w:r>
      <w:r>
        <w:rPr>
          <w:rFonts w:hint="eastAsia" w:ascii="仿宋_GB2312" w:hAnsi="ˎ̥" w:eastAsia="仿宋_GB2312" w:cs="Times New Roman"/>
          <w:sz w:val="32"/>
          <w:szCs w:val="32"/>
          <w:lang w:val="en-US" w:eastAsia="zh-CN"/>
        </w:rPr>
        <w:t>2</w:t>
      </w:r>
      <w:r>
        <w:rPr>
          <w:rFonts w:hint="default"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247.67</w:t>
      </w:r>
      <w:r>
        <w:rPr>
          <w:rFonts w:hint="default" w:ascii="仿宋_GB2312" w:hAnsi="ˎ̥" w:eastAsia="仿宋_GB2312" w:cs="Times New Roman"/>
          <w:sz w:val="32"/>
          <w:szCs w:val="32"/>
        </w:rPr>
        <w:t>万元，主要原因是</w:t>
      </w:r>
      <w:r>
        <w:rPr>
          <w:rFonts w:hint="eastAsia" w:ascii="仿宋_GB2312" w:hAnsi="ˎ̥" w:eastAsia="仿宋_GB2312" w:cs="Times New Roman"/>
          <w:sz w:val="32"/>
          <w:szCs w:val="32"/>
          <w:lang w:eastAsia="zh-CN"/>
        </w:rPr>
        <w:t>学生人数增加活动随之增加，教师人员增加</w:t>
      </w:r>
      <w:r>
        <w:rPr>
          <w:rFonts w:hint="eastAsia" w:ascii="仿宋_GB2312" w:hAnsi="ˎ̥" w:eastAsia="仿宋_GB2312" w:cs="Times New Roman"/>
          <w:sz w:val="32"/>
          <w:szCs w:val="32"/>
        </w:rPr>
        <w:t>。年初结转结余</w:t>
      </w:r>
      <w:r>
        <w:rPr>
          <w:rFonts w:hint="eastAsia" w:ascii="仿宋_GB2312" w:hAnsi="ˎ̥" w:eastAsia="仿宋_GB2312" w:cs="Times New Roman"/>
          <w:sz w:val="32"/>
          <w:szCs w:val="32"/>
          <w:lang w:val="en-US" w:eastAsia="zh-CN"/>
        </w:rPr>
        <w:t>5.12</w:t>
      </w:r>
      <w:r>
        <w:rPr>
          <w:rFonts w:hint="eastAsia" w:ascii="仿宋_GB2312" w:hAnsi="ˎ̥" w:eastAsia="仿宋_GB2312" w:cs="Times New Roman"/>
          <w:sz w:val="32"/>
          <w:szCs w:val="32"/>
        </w:rPr>
        <w:t>万元，主要是财政拨款</w:t>
      </w:r>
      <w:r>
        <w:rPr>
          <w:rFonts w:hint="eastAsia" w:ascii="仿宋_GB2312" w:hAnsi="ˎ̥" w:eastAsia="仿宋_GB2312" w:cs="Times New Roman"/>
          <w:sz w:val="32"/>
          <w:szCs w:val="32"/>
          <w:lang w:eastAsia="zh-CN"/>
        </w:rPr>
        <w:t>未</w:t>
      </w:r>
      <w:r>
        <w:rPr>
          <w:rFonts w:hint="eastAsia" w:ascii="仿宋_GB2312" w:hAnsi="ˎ̥" w:eastAsia="仿宋_GB2312" w:cs="Times New Roman"/>
          <w:sz w:val="32"/>
          <w:szCs w:val="32"/>
        </w:rPr>
        <w:t>结转，较20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增加5.12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default" w:ascii="仿宋_GB2312" w:hAnsi="ˎ̥" w:eastAsia="仿宋_GB2312" w:cs="Times New Roman"/>
          <w:sz w:val="32"/>
          <w:szCs w:val="32"/>
        </w:rPr>
        <w:t>主要原因是</w:t>
      </w:r>
      <w:r>
        <w:rPr>
          <w:rFonts w:hint="eastAsia" w:ascii="仿宋_GB2312" w:hAnsi="ˎ̥" w:eastAsia="仿宋_GB2312" w:cs="Times New Roman"/>
          <w:sz w:val="32"/>
          <w:szCs w:val="32"/>
          <w:lang w:eastAsia="zh-CN"/>
        </w:rPr>
        <w:t>教育支出</w:t>
      </w:r>
      <w:r>
        <w:rPr>
          <w:rFonts w:hint="eastAsia" w:ascii="仿宋_GB2312" w:hAnsi="ˎ̥" w:eastAsia="仿宋_GB2312" w:cs="Times New Roman"/>
          <w:sz w:val="32"/>
          <w:szCs w:val="32"/>
        </w:rPr>
        <w:t>。结余分配</w:t>
      </w:r>
      <w:r>
        <w:rPr>
          <w:rFonts w:hint="default" w:ascii="仿宋_GB2312" w:hAnsi="ˎ̥" w:eastAsia="仿宋_GB2312" w:cs="Times New Roman"/>
          <w:sz w:val="32"/>
          <w:szCs w:val="32"/>
          <w:lang w:val="en-US"/>
        </w:rPr>
        <w:t>0.00</w:t>
      </w:r>
      <w:r>
        <w:rPr>
          <w:rFonts w:hint="default" w:ascii="仿宋_GB2312" w:hAnsi="ˎ̥" w:eastAsia="仿宋_GB2312" w:cs="Times New Roman"/>
          <w:sz w:val="32"/>
          <w:szCs w:val="32"/>
        </w:rPr>
        <w:t>万元，较</w:t>
      </w:r>
      <w:r>
        <w:rPr>
          <w:rFonts w:hint="default" w:ascii="仿宋_GB2312" w:hAnsi="ˎ̥" w:eastAsia="仿宋_GB2312" w:cs="Times New Roman"/>
          <w:sz w:val="32"/>
          <w:szCs w:val="32"/>
          <w:lang w:val="en-US"/>
        </w:rPr>
        <w:t>202</w:t>
      </w:r>
      <w:r>
        <w:rPr>
          <w:rFonts w:hint="eastAsia" w:ascii="仿宋_GB2312" w:hAnsi="ˎ̥" w:eastAsia="仿宋_GB2312" w:cs="Times New Roman"/>
          <w:sz w:val="32"/>
          <w:szCs w:val="32"/>
          <w:lang w:val="en-US" w:eastAsia="zh-CN"/>
        </w:rPr>
        <w:t>2</w:t>
      </w:r>
      <w:r>
        <w:rPr>
          <w:rFonts w:hint="default"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default" w:ascii="仿宋_GB2312" w:hAnsi="ˎ̥" w:eastAsia="仿宋_GB2312" w:cs="Times New Roman"/>
          <w:sz w:val="32"/>
          <w:szCs w:val="32"/>
        </w:rPr>
        <w:t>万元，增长</w:t>
      </w:r>
      <w:r>
        <w:rPr>
          <w:rFonts w:hint="eastAsia" w:ascii="仿宋_GB2312" w:hAnsi="ˎ̥" w:eastAsia="仿宋_GB2312" w:cs="Times New Roman"/>
          <w:sz w:val="32"/>
          <w:szCs w:val="32"/>
          <w:lang w:val="en-US" w:eastAsia="zh-CN"/>
        </w:rPr>
        <w:t>0</w:t>
      </w:r>
      <w:r>
        <w:rPr>
          <w:rFonts w:hint="default" w:ascii="仿宋_GB2312" w:hAnsi="ˎ̥" w:eastAsia="仿宋_GB2312" w:cs="Times New Roman"/>
          <w:sz w:val="32"/>
          <w:szCs w:val="32"/>
          <w:lang w:val="en-US"/>
        </w:rPr>
        <w:t>%</w:t>
      </w:r>
      <w:r>
        <w:rPr>
          <w:rFonts w:hint="default" w:ascii="仿宋_GB2312" w:hAnsi="ˎ̥" w:eastAsia="仿宋_GB2312" w:cs="Times New Roman"/>
          <w:sz w:val="32"/>
          <w:szCs w:val="32"/>
        </w:rPr>
        <w:t>，主要原因是</w:t>
      </w:r>
      <w:r>
        <w:rPr>
          <w:rFonts w:hint="eastAsia" w:ascii="仿宋_GB2312" w:hAnsi="ˎ̥" w:eastAsia="仿宋_GB2312" w:cs="Times New Roman"/>
          <w:sz w:val="32"/>
          <w:szCs w:val="32"/>
          <w:lang w:eastAsia="zh-CN"/>
        </w:rPr>
        <w:t>教育支出</w:t>
      </w:r>
      <w:r>
        <w:rPr>
          <w:rFonts w:hint="default" w:ascii="仿宋_GB2312" w:hAnsi="ˎ̥" w:eastAsia="仿宋_GB2312" w:cs="Times New Roman"/>
          <w:sz w:val="32"/>
          <w:szCs w:val="32"/>
        </w:rPr>
        <w:t>。</w:t>
      </w:r>
      <w:r>
        <w:rPr>
          <w:rFonts w:hint="eastAsia" w:ascii="仿宋_GB2312" w:hAnsi="ˎ̥" w:eastAsia="仿宋_GB2312" w:cs="Times New Roman"/>
          <w:sz w:val="32"/>
          <w:szCs w:val="32"/>
        </w:rPr>
        <w:t>年末结转结余</w:t>
      </w:r>
      <w:r>
        <w:rPr>
          <w:rFonts w:hint="eastAsia" w:ascii="仿宋_GB2312" w:hAnsi="ˎ̥" w:eastAsia="仿宋_GB2312" w:cs="Times New Roman"/>
          <w:sz w:val="32"/>
          <w:szCs w:val="32"/>
          <w:lang w:val="en-US" w:eastAsia="zh-CN"/>
        </w:rPr>
        <w:t>5.12</w:t>
      </w:r>
      <w:r>
        <w:rPr>
          <w:rFonts w:hint="eastAsia" w:ascii="仿宋_GB2312" w:hAnsi="ˎ̥" w:eastAsia="仿宋_GB2312" w:cs="Times New Roman"/>
          <w:sz w:val="32"/>
          <w:szCs w:val="32"/>
        </w:rPr>
        <w:t>万元，主要是财政拨款结转，较20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增加5.12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上升0.61</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default" w:ascii="仿宋_GB2312" w:hAnsi="ˎ̥" w:eastAsia="仿宋_GB2312" w:cs="Times New Roman"/>
          <w:sz w:val="32"/>
          <w:szCs w:val="32"/>
        </w:rPr>
        <w:t>主要原因</w:t>
      </w:r>
      <w:r>
        <w:rPr>
          <w:rFonts w:hint="eastAsia" w:ascii="仿宋_GB2312" w:hAnsi="ˎ̥" w:eastAsia="仿宋_GB2312" w:cs="Times New Roman"/>
          <w:sz w:val="32"/>
          <w:szCs w:val="32"/>
          <w:lang w:eastAsia="zh-CN"/>
        </w:rPr>
        <w:t>教育支出</w:t>
      </w:r>
      <w:r>
        <w:rPr>
          <w:rFonts w:hint="eastAsia" w:ascii="仿宋_GB2312" w:hAnsi="ˎ̥" w:eastAsia="仿宋_GB2312" w:cs="Times New Roman"/>
          <w:sz w:val="32"/>
          <w:szCs w:val="32"/>
        </w:rPr>
        <w:t>。</w:t>
      </w:r>
    </w:p>
    <w:p w14:paraId="36461D58">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2DAE0A76">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%；其他收入</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p>
    <w:p w14:paraId="35CA582C">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5E0E6FB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万元，其中：基本支出</w:t>
      </w:r>
      <w:r>
        <w:rPr>
          <w:rFonts w:hint="eastAsia" w:ascii="仿宋_GB2312" w:hAnsi="ˎ̥" w:eastAsia="仿宋_GB2312" w:cs="Times New Roman"/>
          <w:sz w:val="32"/>
          <w:szCs w:val="32"/>
          <w:lang w:val="en-US" w:eastAsia="zh-CN"/>
        </w:rPr>
        <w:t>593.92</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71.78</w:t>
      </w:r>
      <w:r>
        <w:rPr>
          <w:rFonts w:hint="eastAsia" w:ascii="仿宋_GB2312" w:hAnsi="ˎ̥" w:eastAsia="仿宋_GB2312" w:cs="Times New Roman"/>
          <w:sz w:val="32"/>
          <w:szCs w:val="32"/>
        </w:rPr>
        <w:t>%；项目支出</w:t>
      </w:r>
      <w:r>
        <w:rPr>
          <w:rFonts w:hint="eastAsia" w:ascii="仿宋_GB2312" w:hAnsi="ˎ̥" w:eastAsia="仿宋_GB2312" w:cs="Times New Roman"/>
          <w:sz w:val="32"/>
          <w:szCs w:val="32"/>
          <w:lang w:val="en-US" w:eastAsia="zh-CN"/>
        </w:rPr>
        <w:t>228.39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27.60</w:t>
      </w:r>
      <w:r>
        <w:rPr>
          <w:rFonts w:hint="eastAsia" w:ascii="仿宋_GB2312" w:hAnsi="ˎ̥" w:eastAsia="仿宋_GB2312" w:cs="Times New Roman"/>
          <w:sz w:val="32"/>
          <w:szCs w:val="32"/>
        </w:rPr>
        <w:t>%；上缴上级支出0.00万元，占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%；经营支出0.00万元，占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%；对附属单位补助支出0.00万元，占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p>
    <w:p w14:paraId="237CC1C7">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6C8911E">
      <w:pPr>
        <w:ind w:firstLine="640" w:firstLineChars="200"/>
        <w:rPr>
          <w:rFonts w:hint="eastAsia" w:ascii="仿宋_GB2312" w:hAnsi="ˎ̥" w:eastAsia="仿宋_GB2312" w:cs="Times New Roman"/>
          <w:sz w:val="32"/>
          <w:szCs w:val="32"/>
          <w:highlight w:val="yellow"/>
        </w:rPr>
      </w:pPr>
      <w:r>
        <w:rPr>
          <w:rFonts w:hint="eastAsia" w:ascii="仿宋_GB2312" w:hAnsi="ˎ̥" w:eastAsia="仿宋_GB2312" w:cs="Times New Roman"/>
          <w:sz w:val="32"/>
          <w:szCs w:val="32"/>
          <w:lang w:val="en-US" w:eastAsia="zh-CN"/>
        </w:rPr>
        <w:t>2023年度财政拨款收入总计827.43万元，支出总计827.43万元。与2023年度相比，财政拨款收入、支出总计各增加247.67万元，增长29.93%。主要原因：一是学生人数增加活动增加；二是教师人数增加。</w:t>
      </w:r>
    </w:p>
    <w:p w14:paraId="759ACFDF">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val="en-US" w:eastAsia="zh-CN"/>
        </w:rPr>
        <w:t>财政拨款年初结转结余5.12万元，主要是教育支出，较2023年度决算数增加5.12万元，增长100%，</w:t>
      </w:r>
      <w:r>
        <w:rPr>
          <w:rFonts w:hint="default" w:ascii="仿宋_GB2312" w:hAnsi="ˎ̥" w:eastAsia="仿宋_GB2312" w:cs="Times New Roman"/>
          <w:sz w:val="32"/>
          <w:szCs w:val="32"/>
          <w:lang w:val="en-US" w:eastAsia="zh-CN"/>
        </w:rPr>
        <w:t>主要原因是</w:t>
      </w:r>
      <w:r>
        <w:rPr>
          <w:rFonts w:hint="eastAsia" w:ascii="仿宋_GB2312" w:hAnsi="ˎ̥" w:eastAsia="仿宋_GB2312" w:cs="Times New Roman"/>
          <w:sz w:val="32"/>
          <w:szCs w:val="32"/>
          <w:lang w:val="en-US" w:eastAsia="zh-CN"/>
        </w:rPr>
        <w:t>学生人数增加，活动增多。</w:t>
      </w:r>
    </w:p>
    <w:p w14:paraId="2FE8275C">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val="en-US" w:eastAsia="zh-CN"/>
        </w:rPr>
        <w:t>财政拨款年末结转结余0万元，主要是项目支出，较2022年度年末决算数减少0万元，减少0%，</w:t>
      </w:r>
      <w:r>
        <w:rPr>
          <w:rFonts w:hint="default" w:ascii="仿宋_GB2312" w:hAnsi="ˎ̥" w:eastAsia="仿宋_GB2312" w:cs="Times New Roman"/>
          <w:sz w:val="32"/>
          <w:szCs w:val="32"/>
          <w:lang w:val="en-US" w:eastAsia="zh-CN"/>
        </w:rPr>
        <w:t>主要原</w:t>
      </w:r>
      <w:r>
        <w:rPr>
          <w:rFonts w:hint="eastAsia" w:ascii="仿宋_GB2312" w:hAnsi="ˎ̥" w:eastAsia="仿宋_GB2312" w:cs="Times New Roman"/>
          <w:sz w:val="32"/>
          <w:szCs w:val="32"/>
          <w:lang w:val="en-US" w:eastAsia="zh-CN"/>
        </w:rPr>
        <w:t>因是教育支出。</w:t>
      </w:r>
    </w:p>
    <w:p w14:paraId="26042004">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4A3D7EC4">
      <w:pPr>
        <w:ind w:firstLine="640" w:firstLineChars="200"/>
        <w:rPr>
          <w:rFonts w:ascii="楷体" w:hAnsi="楷体" w:eastAsia="楷体" w:cs="楷体"/>
          <w:color w:val="000000" w:themeColor="text1"/>
          <w:sz w:val="32"/>
          <w:szCs w:val="32"/>
          <w14:textFill>
            <w14:solidFill>
              <w14:schemeClr w14:val="tx1"/>
            </w14:solidFill>
          </w14:textFill>
        </w:rPr>
      </w:pPr>
      <w:bookmarkStart w:id="81" w:name="_Toc17398_WPSOffice_Level2"/>
      <w:bookmarkStart w:id="82" w:name="_Toc13694_WPSOffice_Level2"/>
      <w:bookmarkStart w:id="83" w:name="_Toc19665_WPSOffice_Level2"/>
      <w:bookmarkStart w:id="84" w:name="_Toc23005_WPSOffice_Level2"/>
      <w:bookmarkStart w:id="85" w:name="_Toc9989_WPSOffice_Level2"/>
      <w:bookmarkStart w:id="86" w:name="_Toc21737_WPSOffice_Level2"/>
      <w:r>
        <w:rPr>
          <w:rFonts w:hint="eastAsia" w:ascii="楷体" w:hAnsi="楷体" w:eastAsia="楷体" w:cs="楷体"/>
          <w:color w:val="000000" w:themeColor="text1"/>
          <w:sz w:val="32"/>
          <w:szCs w:val="32"/>
          <w14:textFill>
            <w14:solidFill>
              <w14:schemeClr w14:val="tx1"/>
            </w14:solidFill>
          </w14:textFill>
        </w:rPr>
        <w:t>（一）一般公共预算财政拨款支出决算总体情况</w:t>
      </w:r>
      <w:bookmarkEnd w:id="81"/>
      <w:bookmarkEnd w:id="82"/>
      <w:r>
        <w:rPr>
          <w:rFonts w:hint="eastAsia" w:ascii="楷体" w:hAnsi="楷体" w:eastAsia="楷体" w:cs="楷体"/>
          <w:color w:val="000000" w:themeColor="text1"/>
          <w:sz w:val="32"/>
          <w:szCs w:val="32"/>
          <w14:textFill>
            <w14:solidFill>
              <w14:schemeClr w14:val="tx1"/>
            </w14:solidFill>
          </w14:textFill>
        </w:rPr>
        <w:t>。</w:t>
      </w:r>
      <w:bookmarkEnd w:id="83"/>
      <w:bookmarkEnd w:id="84"/>
      <w:bookmarkEnd w:id="85"/>
      <w:bookmarkEnd w:id="86"/>
    </w:p>
    <w:p w14:paraId="7A5CBDFF">
      <w:pPr>
        <w:ind w:firstLine="640" w:firstLineChars="200"/>
        <w:rPr>
          <w:rFonts w:ascii="楷体" w:hAnsi="楷体" w:eastAsia="楷体" w:cs="楷体"/>
          <w:sz w:val="32"/>
          <w:szCs w:val="32"/>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年度一般公共预算财政拨款支出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827.43</w:t>
      </w:r>
      <w:r>
        <w:rPr>
          <w:rFonts w:hint="eastAsia" w:ascii="仿宋_GB2312" w:hAnsi="ˎ̥" w:eastAsia="仿宋_GB2312" w:cs="Times New Roman"/>
          <w:color w:val="000000" w:themeColor="text1"/>
          <w:sz w:val="32"/>
          <w:szCs w:val="32"/>
          <w14:textFill>
            <w14:solidFill>
              <w14:schemeClr w14:val="tx1"/>
            </w14:solidFill>
          </w14:textFill>
        </w:rPr>
        <w:t>万元，占本年支出合计的</w:t>
      </w:r>
      <w:r>
        <w:rPr>
          <w:rFonts w:hint="eastAsia" w:ascii="仿宋_GB2312" w:hAnsi="ˎ̥" w:eastAsia="仿宋_GB2312" w:cs="Times New Roman"/>
          <w:color w:val="000000" w:themeColor="text1"/>
          <w:sz w:val="32"/>
          <w:szCs w:val="32"/>
          <w:lang w:val="en-US" w:eastAsia="zh-CN"/>
          <w14:textFill>
            <w14:solidFill>
              <w14:schemeClr w14:val="tx1"/>
            </w14:solidFill>
          </w14:textFill>
        </w:rPr>
        <w:t>100</w:t>
      </w:r>
      <w:r>
        <w:rPr>
          <w:rFonts w:hint="eastAsia" w:ascii="仿宋_GB2312" w:hAnsi="ˎ̥" w:eastAsia="仿宋_GB2312" w:cs="Times New Roman"/>
          <w:color w:val="000000" w:themeColor="text1"/>
          <w:sz w:val="32"/>
          <w:szCs w:val="32"/>
          <w14:textFill>
            <w14:solidFill>
              <w14:schemeClr w14:val="tx1"/>
            </w14:solidFill>
          </w14:textFill>
        </w:rPr>
        <w:t>%。与2</w:t>
      </w:r>
      <w:r>
        <w:rPr>
          <w:rFonts w:hint="eastAsia" w:ascii="仿宋_GB2312" w:hAnsi="ˎ̥" w:eastAsia="仿宋_GB2312" w:cs="Times New Roman"/>
          <w:color w:val="000000" w:themeColor="text1"/>
          <w:sz w:val="32"/>
          <w:szCs w:val="32"/>
          <w:lang w:val="en-US" w:eastAsia="zh-CN"/>
          <w14:textFill>
            <w14:solidFill>
              <w14:schemeClr w14:val="tx1"/>
            </w14:solidFill>
          </w14:textFill>
        </w:rPr>
        <w:t>022</w:t>
      </w:r>
      <w:r>
        <w:rPr>
          <w:rFonts w:hint="eastAsia" w:ascii="仿宋_GB2312" w:hAnsi="ˎ̥" w:eastAsia="仿宋_GB2312" w:cs="Times New Roman"/>
          <w:color w:val="000000" w:themeColor="text1"/>
          <w:sz w:val="32"/>
          <w:szCs w:val="32"/>
          <w14:textFill>
            <w14:solidFill>
              <w14:schemeClr w14:val="tx1"/>
            </w14:solidFill>
          </w14:textFill>
        </w:rPr>
        <w:t>年度相比，一般公共预算财政拨</w:t>
      </w:r>
      <w:bookmarkStart w:id="87" w:name="_Toc18793_WPSOffice_Level2"/>
      <w:bookmarkStart w:id="88" w:name="_Toc2711_WPSOffice_Level2"/>
      <w:bookmarkStart w:id="89" w:name="_Toc23864_WPSOffice_Level2"/>
      <w:bookmarkStart w:id="90" w:name="_Toc19075_WPSOffice_Level2"/>
      <w:bookmarkStart w:id="91" w:name="_Toc19535_WPSOffice_Level2"/>
      <w:bookmarkStart w:id="92" w:name="_Toc27767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50E7783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827.43</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575.70</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69.58</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154.13</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18.63</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36.41</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4.4</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56.06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6.8</w:t>
      </w:r>
      <w:r>
        <w:rPr>
          <w:rFonts w:hint="eastAsia" w:ascii="仿宋_GB2312" w:hAnsi="ˎ̥" w:eastAsia="仿宋_GB2312" w:cs="Times New Roman"/>
          <w:sz w:val="32"/>
          <w:szCs w:val="32"/>
        </w:rPr>
        <w:t>%。</w:t>
      </w:r>
    </w:p>
    <w:p w14:paraId="34DBCB82">
      <w:pPr>
        <w:ind w:firstLine="640" w:firstLineChars="200"/>
        <w:rPr>
          <w:rFonts w:hint="eastAsia" w:ascii="楷体" w:hAnsi="楷体" w:eastAsia="楷体" w:cs="楷体"/>
          <w:sz w:val="32"/>
          <w:szCs w:val="32"/>
        </w:rPr>
      </w:pPr>
      <w:bookmarkStart w:id="93" w:name="_Toc9502_WPSOffice_Level2"/>
      <w:bookmarkStart w:id="94" w:name="_Toc15415_WPSOffice_Level2"/>
      <w:bookmarkStart w:id="95" w:name="_Toc25136_WPSOffice_Level2"/>
      <w:bookmarkStart w:id="96" w:name="_Toc21701_WPSOffice_Level2"/>
      <w:bookmarkStart w:id="97" w:name="_Toc29364_WPSOffice_Level2"/>
      <w:bookmarkStart w:id="98" w:name="_Toc22318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0D74643C">
      <w:pPr>
        <w:ind w:firstLine="640" w:firstLineChars="200"/>
        <w:jc w:val="both"/>
        <w:rPr>
          <w:rFonts w:hint="eastAsia"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年度一般公共预算财政拨款支出年初预算为</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827.43</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%。其中：</w:t>
      </w:r>
    </w:p>
    <w:p w14:paraId="632819F4">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14:paraId="473081C3">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575.70</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575.70</w:t>
      </w:r>
      <w:r>
        <w:rPr>
          <w:rFonts w:hint="eastAsia" w:ascii="仿宋_GB2312" w:hAnsi="ˎ̥" w:eastAsia="仿宋_GB2312" w:cs="Times New Roman"/>
          <w:sz w:val="32"/>
          <w:szCs w:val="32"/>
        </w:rPr>
        <w:t>万元，完成年</w:t>
      </w:r>
      <w:r>
        <w:rPr>
          <w:rFonts w:hint="eastAsia" w:ascii="仿宋_GB2312" w:hAnsi="ˎ̥" w:eastAsia="仿宋_GB2312" w:cs="Times New Roman"/>
          <w:color w:val="auto"/>
          <w:sz w:val="32"/>
          <w:szCs w:val="32"/>
        </w:rPr>
        <w:t>初预算的</w:t>
      </w:r>
      <w:r>
        <w:rPr>
          <w:rFonts w:hint="eastAsia" w:ascii="仿宋_GB2312" w:hAnsi="ˎ̥" w:eastAsia="仿宋_GB2312" w:cs="Times New Roman"/>
          <w:color w:val="auto"/>
          <w:sz w:val="32"/>
          <w:szCs w:val="32"/>
          <w:lang w:val="en-US" w:eastAsia="zh-CN"/>
        </w:rPr>
        <w:t>100</w:t>
      </w:r>
      <w:r>
        <w:rPr>
          <w:rFonts w:hint="eastAsia" w:ascii="仿宋_GB2312" w:hAnsi="ˎ̥" w:eastAsia="仿宋_GB2312" w:cs="Times New Roman"/>
          <w:color w:val="auto"/>
          <w:sz w:val="32"/>
          <w:szCs w:val="32"/>
        </w:rPr>
        <w:t>%。</w:t>
      </w:r>
    </w:p>
    <w:p w14:paraId="67928DBD">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2.</w:t>
      </w:r>
      <w:r>
        <w:rPr>
          <w:rFonts w:hint="eastAsia" w:ascii="仿宋_GB2312" w:hAnsi="ˎ̥" w:eastAsia="仿宋_GB2312" w:cs="Times New Roman"/>
          <w:b/>
          <w:sz w:val="32"/>
          <w:szCs w:val="32"/>
        </w:rPr>
        <w:t>教育（类）教育管理事务（款）其他教育管理事务支出（项）。</w:t>
      </w:r>
    </w:p>
    <w:p w14:paraId="4064599F">
      <w:pPr>
        <w:ind w:firstLine="640" w:firstLineChars="200"/>
        <w:rPr>
          <w:rFonts w:ascii="仿宋_GB2312" w:hAnsi="ˎ̥" w:eastAsia="仿宋_GB2312" w:cs="Times New Roman"/>
          <w:color w:val="auto"/>
          <w:sz w:val="32"/>
          <w:szCs w:val="32"/>
        </w:rPr>
      </w:pPr>
      <w:bookmarkStart w:id="123" w:name="_GoBack"/>
      <w:bookmarkEnd w:id="123"/>
      <w:r>
        <w:rPr>
          <w:rFonts w:hint="eastAsia" w:ascii="仿宋_GB2312" w:hAnsi="ˎ̥" w:eastAsia="仿宋_GB2312" w:cs="Times New Roman"/>
          <w:color w:val="auto"/>
          <w:sz w:val="32"/>
          <w:szCs w:val="32"/>
        </w:rPr>
        <w:t>年初预算为</w:t>
      </w:r>
      <w:r>
        <w:rPr>
          <w:rFonts w:hint="eastAsia" w:ascii="仿宋_GB2312" w:hAnsi="ˎ̥" w:eastAsia="仿宋_GB2312" w:cs="Times New Roman"/>
          <w:color w:val="auto"/>
          <w:sz w:val="32"/>
          <w:szCs w:val="32"/>
          <w:lang w:val="en-US" w:eastAsia="zh-CN"/>
        </w:rPr>
        <w:t>5.12万</w:t>
      </w:r>
      <w:r>
        <w:rPr>
          <w:rFonts w:hint="eastAsia" w:ascii="仿宋_GB2312" w:hAnsi="ˎ̥" w:eastAsia="仿宋_GB2312" w:cs="Times New Roman"/>
          <w:color w:val="auto"/>
          <w:sz w:val="32"/>
          <w:szCs w:val="32"/>
        </w:rPr>
        <w:t>元，支出决算为</w:t>
      </w:r>
      <w:r>
        <w:rPr>
          <w:rFonts w:hint="eastAsia" w:ascii="仿宋_GB2312" w:hAnsi="ˎ̥" w:eastAsia="仿宋_GB2312" w:cs="Times New Roman"/>
          <w:color w:val="auto"/>
          <w:sz w:val="32"/>
          <w:szCs w:val="32"/>
          <w:lang w:val="en-US" w:eastAsia="zh-CN"/>
        </w:rPr>
        <w:t>5.12</w:t>
      </w:r>
      <w:r>
        <w:rPr>
          <w:rFonts w:hint="eastAsia" w:ascii="仿宋_GB2312" w:hAnsi="ˎ̥" w:eastAsia="仿宋_GB2312" w:cs="Times New Roman"/>
          <w:color w:val="auto"/>
          <w:sz w:val="32"/>
          <w:szCs w:val="32"/>
        </w:rPr>
        <w:t>万元，完成年初预算的100%。</w:t>
      </w:r>
    </w:p>
    <w:p w14:paraId="117CD48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3.</w:t>
      </w:r>
      <w:r>
        <w:rPr>
          <w:rFonts w:hint="eastAsia" w:ascii="仿宋_GB2312" w:hAnsi="ˎ̥" w:eastAsia="仿宋_GB2312" w:cs="Times New Roman"/>
          <w:b/>
          <w:sz w:val="32"/>
          <w:szCs w:val="32"/>
        </w:rPr>
        <w:t>社会保障和就业（类）行政事业单位养老支出（款）机关事业单位基本养老保险缴费支出（项）。</w:t>
      </w:r>
    </w:p>
    <w:p w14:paraId="0C2C4E8E">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45.22</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45.22</w:t>
      </w:r>
      <w:r>
        <w:rPr>
          <w:rFonts w:hint="eastAsia" w:ascii="仿宋_GB2312" w:hAnsi="ˎ̥" w:eastAsia="仿宋_GB2312" w:cs="Times New Roman"/>
          <w:sz w:val="32"/>
          <w:szCs w:val="32"/>
        </w:rPr>
        <w:t>万元，完成年初预算的100%。</w:t>
      </w:r>
    </w:p>
    <w:p w14:paraId="2B3E1F3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2ACB5AD3">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103.64</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103.64</w:t>
      </w:r>
      <w:r>
        <w:rPr>
          <w:rFonts w:hint="eastAsia" w:ascii="仿宋_GB2312" w:hAnsi="ˎ̥" w:eastAsia="仿宋_GB2312" w:cs="Times New Roman"/>
          <w:sz w:val="32"/>
          <w:szCs w:val="32"/>
        </w:rPr>
        <w:t>万元，完成年初预算的100%。</w:t>
      </w:r>
    </w:p>
    <w:p w14:paraId="29E99C3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0AAFDB7C">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56.06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56.06</w:t>
      </w:r>
      <w:r>
        <w:rPr>
          <w:rFonts w:hint="eastAsia" w:ascii="仿宋_GB2312" w:hAnsi="ˎ̥" w:eastAsia="仿宋_GB2312" w:cs="Times New Roman"/>
          <w:sz w:val="32"/>
          <w:szCs w:val="32"/>
        </w:rPr>
        <w:t>万元，完成年初预算的100%。</w:t>
      </w:r>
    </w:p>
    <w:p w14:paraId="060AB66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6.</w:t>
      </w:r>
      <w:r>
        <w:rPr>
          <w:rFonts w:hint="eastAsia" w:ascii="仿宋_GB2312" w:hAnsi="ˎ̥" w:eastAsia="仿宋_GB2312" w:cs="Times New Roman"/>
          <w:b/>
          <w:sz w:val="32"/>
          <w:szCs w:val="32"/>
        </w:rPr>
        <w:t>社会保障和就业（类）行政事业单位医疗（款）公务员医疗补助（项）。</w:t>
      </w:r>
    </w:p>
    <w:p w14:paraId="6D5D88F0">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35.08</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35.08</w:t>
      </w:r>
      <w:r>
        <w:rPr>
          <w:rFonts w:hint="eastAsia" w:ascii="仿宋_GB2312" w:hAnsi="ˎ̥" w:eastAsia="仿宋_GB2312" w:cs="Times New Roman"/>
          <w:sz w:val="32"/>
          <w:szCs w:val="32"/>
        </w:rPr>
        <w:t>万元，完成年初预算的100%。</w:t>
      </w:r>
    </w:p>
    <w:p w14:paraId="42D3648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077EA577">
      <w:pPr>
        <w:rPr>
          <w:rFonts w:ascii="仿宋_GB2312" w:hAnsi="ˎ̥" w:eastAsia="仿宋_GB2312" w:cs="Times New Roman"/>
          <w:sz w:val="32"/>
          <w:szCs w:val="32"/>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36.41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36.41</w:t>
      </w:r>
      <w:r>
        <w:rPr>
          <w:rFonts w:hint="eastAsia" w:ascii="仿宋_GB2312" w:hAnsi="ˎ̥" w:eastAsia="仿宋_GB2312" w:cs="Times New Roman"/>
          <w:sz w:val="32"/>
          <w:szCs w:val="32"/>
        </w:rPr>
        <w:t>万元，完成年初预算的100%。</w:t>
      </w:r>
    </w:p>
    <w:p w14:paraId="4D64E0D3">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7593C2B">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w:t>
      </w:r>
      <w:r>
        <w:rPr>
          <w:rFonts w:hint="eastAsia" w:ascii="仿宋_GB2312" w:hAnsi="ˎ̥" w:eastAsia="仿宋_GB2312" w:cs="Times New Roman"/>
          <w:color w:val="auto"/>
          <w:sz w:val="32"/>
          <w:szCs w:val="32"/>
        </w:rPr>
        <w:t>政拨款基本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593.92</w:t>
      </w:r>
      <w:r>
        <w:rPr>
          <w:rFonts w:hint="eastAsia" w:ascii="仿宋_GB2312" w:hAnsi="ˎ̥" w:eastAsia="仿宋_GB2312" w:cs="Times New Roman"/>
          <w:sz w:val="32"/>
          <w:szCs w:val="32"/>
        </w:rPr>
        <w:t>万元，其中：人员经费</w:t>
      </w:r>
      <w:r>
        <w:rPr>
          <w:rFonts w:hint="eastAsia" w:ascii="仿宋_GB2312" w:hAnsi="ˎ̥" w:eastAsia="仿宋_GB2312" w:cs="Times New Roman"/>
          <w:sz w:val="32"/>
          <w:szCs w:val="32"/>
          <w:lang w:val="en-US" w:eastAsia="zh-CN"/>
        </w:rPr>
        <w:t>451.83</w:t>
      </w:r>
      <w:r>
        <w:rPr>
          <w:rFonts w:hint="eastAsia" w:ascii="仿宋_GB2312" w:hAnsi="ˎ̥" w:eastAsia="仿宋_GB2312" w:cs="Times New Roman"/>
          <w:sz w:val="32"/>
          <w:szCs w:val="32"/>
        </w:rPr>
        <w:t>万元，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ˎ̥" w:eastAsia="仿宋_GB2312" w:cs="Times New Roman"/>
          <w:sz w:val="32"/>
          <w:szCs w:val="32"/>
          <w:lang w:val="en-US" w:eastAsia="zh-CN"/>
        </w:rPr>
        <w:t>11.91</w:t>
      </w:r>
      <w:r>
        <w:rPr>
          <w:rFonts w:hint="eastAsia" w:ascii="仿宋_GB2312" w:hAnsi="ˎ̥" w:eastAsia="仿宋_GB2312" w:cs="Times New Roman"/>
          <w:sz w:val="32"/>
          <w:szCs w:val="32"/>
        </w:rPr>
        <w:t>万元，主要包括：邮电费、工会经费、其他商品和服务支出。</w:t>
      </w:r>
    </w:p>
    <w:p w14:paraId="44895092">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2DDE6015">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13D913B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val="en-US" w:eastAsia="zh-CN"/>
        </w:rPr>
        <w:t>2022</w:t>
      </w:r>
      <w:r>
        <w:rPr>
          <w:rFonts w:hint="eastAsia" w:ascii="仿宋_GB2312" w:hAnsi="ˎ̥" w:eastAsia="仿宋_GB2312" w:cs="Times New Roman"/>
          <w:sz w:val="32"/>
          <w:szCs w:val="32"/>
        </w:rPr>
        <w:t>年度相比，政府性基金预算财政拨款支出增加0万元，增长0%，主要原因是没有该项预算。</w:t>
      </w:r>
    </w:p>
    <w:p w14:paraId="538FC8C6">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70329A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20188551">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577521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6F219B23">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46EB907E">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31E7014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年度相比，国有资本经营预算财政拨款支出增加0万元，增长0%，主要原因是没有该项预算。</w:t>
      </w:r>
    </w:p>
    <w:p w14:paraId="5683BC49">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224ED42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1D72314B">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7EE1722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05CCE213">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258A253F">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1172D38B">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39DD0539">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2B4311A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7388384F">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43700D78">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07C7ED58">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647DCFCA">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7ECB19C9">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EC2FA7C">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77CB78C5">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48C64E0D">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4FDEE466">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3E0227CC">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775BA5FA">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1437A18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2CA8A01C">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6DCA21B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2A0D6C72">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5FD44DE9">
      <w:p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3BC6BDC8">
      <w:pPr>
        <w:spacing w:line="578"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根据财政预算管理要求，三亚市天涯区</w:t>
      </w:r>
      <w:r>
        <w:rPr>
          <w:rFonts w:hint="eastAsia" w:ascii="仿宋_GB2312" w:hAnsi="Times New Roman" w:eastAsia="仿宋_GB2312" w:cs="Times New Roman"/>
          <w:sz w:val="32"/>
          <w:szCs w:val="32"/>
          <w:lang w:eastAsia="zh-CN"/>
        </w:rPr>
        <w:t>回新逸夫</w:t>
      </w:r>
      <w:r>
        <w:rPr>
          <w:rFonts w:hint="eastAsia" w:ascii="仿宋_GB2312" w:hAnsi="Times New Roman" w:eastAsia="仿宋_GB2312" w:cs="Times New Roman"/>
          <w:sz w:val="32"/>
          <w:szCs w:val="32"/>
        </w:rPr>
        <w:t>小学对202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年度一般公共预算项目支出全面开展绩效自评。自评项目3个，共涉及资金</w:t>
      </w:r>
      <w:r>
        <w:rPr>
          <w:rFonts w:hint="eastAsia" w:ascii="仿宋_GB2312" w:hAnsi="Times New Roman" w:eastAsia="仿宋_GB2312" w:cs="Times New Roman"/>
          <w:sz w:val="32"/>
          <w:szCs w:val="32"/>
          <w:lang w:val="en-US" w:eastAsia="zh-CN"/>
        </w:rPr>
        <w:t>230.22</w:t>
      </w:r>
      <w:r>
        <w:rPr>
          <w:rFonts w:hint="eastAsia" w:ascii="仿宋_GB2312" w:hAnsi="Times New Roman" w:eastAsia="仿宋_GB2312" w:cs="Times New Roman"/>
          <w:sz w:val="32"/>
          <w:szCs w:val="32"/>
        </w:rPr>
        <w:t>万元，自评覆盖率达到100%。</w:t>
      </w:r>
    </w:p>
    <w:p w14:paraId="782428C0">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共组织对“人才引进及师资队伍建设”、“教育教学管理及监督”、“公用经费”3个项目开展了部门评价，涉及资金</w:t>
      </w:r>
      <w:r>
        <w:rPr>
          <w:rFonts w:hint="eastAsia" w:ascii="仿宋_GB2312" w:hAnsi="Times New Roman" w:eastAsia="仿宋_GB2312" w:cs="Times New Roman"/>
          <w:sz w:val="32"/>
          <w:szCs w:val="32"/>
          <w:lang w:val="en-US" w:eastAsia="zh-CN"/>
        </w:rPr>
        <w:t>230.22</w:t>
      </w:r>
      <w:r>
        <w:rPr>
          <w:rFonts w:hint="eastAsia" w:ascii="仿宋_GB2312" w:hAnsi="Times New Roman" w:eastAsia="仿宋_GB2312" w:cs="Times New Roman"/>
          <w:sz w:val="32"/>
          <w:szCs w:val="32"/>
        </w:rPr>
        <w:t>万元。</w:t>
      </w:r>
    </w:p>
    <w:p w14:paraId="5ABA50E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开展整体支出绩效评价，涉及资金</w:t>
      </w:r>
      <w:r>
        <w:rPr>
          <w:rFonts w:hint="eastAsia" w:ascii="仿宋_GB2312" w:hAnsi="Times New Roman" w:eastAsia="仿宋_GB2312" w:cs="Times New Roman"/>
          <w:sz w:val="32"/>
          <w:szCs w:val="32"/>
          <w:lang w:val="en-US" w:eastAsia="zh-CN"/>
        </w:rPr>
        <w:t>230.22</w:t>
      </w:r>
      <w:r>
        <w:rPr>
          <w:rFonts w:hint="eastAsia" w:ascii="仿宋_GB2312" w:hAnsi="Times New Roman" w:eastAsia="仿宋_GB2312" w:cs="Times New Roman"/>
          <w:sz w:val="32"/>
          <w:szCs w:val="32"/>
        </w:rPr>
        <w:t>万元。</w:t>
      </w:r>
    </w:p>
    <w:p w14:paraId="434FF8F6">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2FC13149">
      <w:pPr>
        <w:numPr>
          <w:ilvl w:val="0"/>
          <w:numId w:val="0"/>
        </w:numPr>
        <w:spacing w:line="578" w:lineRule="exact"/>
        <w:rPr>
          <w:rFonts w:hint="default" w:ascii="仿宋_GB2312" w:hAnsi="Times New Roman" w:eastAsia="仿宋_GB2312" w:cs="Times New Roman"/>
          <w:color w:val="FF0000"/>
          <w:sz w:val="32"/>
          <w:szCs w:val="32"/>
          <w:highlight w:val="yellow"/>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lang w:val="en-US" w:eastAsia="zh-CN"/>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p>
    <w:p w14:paraId="3E0FDDEF">
      <w:pPr>
        <w:numPr>
          <w:ilvl w:val="0"/>
          <w:numId w:val="2"/>
        </w:numPr>
        <w:spacing w:line="578" w:lineRule="exact"/>
        <w:ind w:left="0" w:leftChars="0"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财政评价项目绩效评价结果。</w:t>
      </w:r>
    </w:p>
    <w:p w14:paraId="672A1630">
      <w:pPr>
        <w:spacing w:line="578" w:lineRule="exact"/>
        <w:ind w:firstLine="1280" w:firstLineChars="4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无。</w:t>
      </w:r>
    </w:p>
    <w:p w14:paraId="2313FC81">
      <w:pPr>
        <w:numPr>
          <w:ilvl w:val="0"/>
          <w:numId w:val="2"/>
        </w:numPr>
        <w:spacing w:line="578" w:lineRule="exact"/>
        <w:ind w:left="0" w:leftChars="0"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14:paraId="3FC318A4">
      <w:pPr>
        <w:numPr>
          <w:ilvl w:val="0"/>
          <w:numId w:val="0"/>
        </w:numPr>
        <w:spacing w:line="578" w:lineRule="exact"/>
        <w:ind w:leftChars="200" w:firstLine="960" w:firstLineChars="300"/>
        <w:rPr>
          <w:rFonts w:hint="eastAsia" w:ascii="楷体" w:hAnsi="楷体" w:eastAsia="楷体" w:cs="楷体"/>
          <w:b/>
          <w:color w:val="000000" w:themeColor="text1"/>
          <w:sz w:val="32"/>
          <w:szCs w:val="32"/>
          <w14:textFill>
            <w14:solidFill>
              <w14:schemeClr w14:val="tx1"/>
            </w14:solidFill>
          </w14:textFill>
        </w:rPr>
      </w:pPr>
      <w:r>
        <w:rPr>
          <w:rFonts w:hint="eastAsia" w:ascii="仿宋_GB2312" w:hAnsi="Times New Roman" w:eastAsia="仿宋_GB2312" w:cs="Times New Roman"/>
          <w:sz w:val="32"/>
          <w:szCs w:val="32"/>
          <w:lang w:val="en-US" w:eastAsia="zh-CN"/>
        </w:rPr>
        <w:t>无。</w:t>
      </w:r>
    </w:p>
    <w:p w14:paraId="72C01B5A">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2B0EEC33">
      <w:pPr>
        <w:ind w:firstLine="643" w:firstLineChars="200"/>
        <w:rPr>
          <w:rFonts w:ascii="楷体" w:hAnsi="楷体" w:eastAsia="楷体" w:cs="楷体"/>
          <w:b/>
          <w:sz w:val="32"/>
          <w:szCs w:val="32"/>
        </w:rPr>
      </w:pPr>
      <w:bookmarkStart w:id="99" w:name="_Toc15262_WPSOffice_Level2"/>
      <w:bookmarkStart w:id="100" w:name="_Toc18325_WPSOffice_Level2"/>
      <w:bookmarkStart w:id="101" w:name="_Toc5978_WPSOffice_Level2"/>
      <w:bookmarkStart w:id="102" w:name="_Toc23598_WPSOffice_Level2"/>
      <w:bookmarkStart w:id="103" w:name="_Toc32639_WPSOffice_Level2"/>
      <w:bookmarkStart w:id="104" w:name="_Toc1556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21C9A169">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回新逸夫</w:t>
      </w:r>
      <w:r>
        <w:rPr>
          <w:rFonts w:hint="eastAsia" w:ascii="仿宋_GB2312" w:hAnsi="ˎ̥" w:eastAsia="仿宋_GB2312" w:cs="Times New Roman"/>
          <w:color w:val="000000" w:themeColor="text1"/>
          <w:sz w:val="32"/>
          <w:szCs w:val="32"/>
          <w14:textFill>
            <w14:solidFill>
              <w14:schemeClr w14:val="tx1"/>
            </w14:solidFill>
          </w14:textFill>
        </w:rPr>
        <w:t>小学机关运行经费0万元。主要原因是：事业单位没</w:t>
      </w:r>
      <w:r>
        <w:rPr>
          <w:rFonts w:hint="eastAsia" w:ascii="仿宋_GB2312" w:hAnsi="ˎ̥" w:eastAsia="仿宋_GB2312" w:cs="Times New Roman"/>
          <w:sz w:val="32"/>
          <w:szCs w:val="32"/>
        </w:rPr>
        <w:t>有机关运行经费支出</w:t>
      </w:r>
    </w:p>
    <w:p w14:paraId="1BBAF9FB">
      <w:pPr>
        <w:ind w:firstLine="643" w:firstLineChars="200"/>
        <w:rPr>
          <w:rFonts w:ascii="楷体" w:hAnsi="楷体" w:eastAsia="楷体" w:cs="楷体"/>
          <w:b/>
          <w:sz w:val="32"/>
          <w:szCs w:val="32"/>
        </w:rPr>
      </w:pPr>
      <w:bookmarkStart w:id="105" w:name="_Toc30383_WPSOffice_Level2"/>
      <w:bookmarkStart w:id="106" w:name="_Toc13084_WPSOffice_Level2"/>
      <w:bookmarkStart w:id="107" w:name="_Toc25333_WPSOffice_Level2"/>
      <w:bookmarkStart w:id="108" w:name="_Toc23966_WPSOffice_Level2"/>
      <w:bookmarkStart w:id="109" w:name="_Toc3131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2694893A">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回新逸夫</w:t>
      </w:r>
      <w:r>
        <w:rPr>
          <w:rFonts w:hint="eastAsia" w:ascii="仿宋_GB2312" w:hAnsi="ˎ̥" w:eastAsia="仿宋_GB2312" w:cs="Times New Roman"/>
          <w:color w:val="000000" w:themeColor="text1"/>
          <w:sz w:val="32"/>
          <w:szCs w:val="32"/>
          <w14:textFill>
            <w14:solidFill>
              <w14:schemeClr w14:val="tx1"/>
            </w14:solidFill>
          </w14:textFill>
        </w:rPr>
        <w:t>小学政府采购支出总额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6FE33620">
      <w:pPr>
        <w:ind w:firstLine="643" w:firstLineChars="200"/>
        <w:rPr>
          <w:rFonts w:ascii="楷体" w:hAnsi="楷体" w:eastAsia="楷体" w:cs="楷体"/>
          <w:b/>
          <w:sz w:val="32"/>
          <w:szCs w:val="32"/>
        </w:rPr>
      </w:pPr>
      <w:bookmarkStart w:id="111" w:name="_Toc19989_WPSOffice_Level2"/>
      <w:bookmarkStart w:id="112" w:name="_Toc15129_WPSOffice_Level2"/>
      <w:bookmarkStart w:id="113" w:name="_Toc29584_WPSOffice_Level2"/>
      <w:bookmarkStart w:id="114" w:name="_Toc10902_WPSOffice_Level2"/>
      <w:bookmarkStart w:id="115" w:name="_Toc6016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68764014">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lang w:val="en-US" w:eastAsia="zh-CN"/>
          <w14:textFill>
            <w14:solidFill>
              <w14:schemeClr w14:val="tx1"/>
            </w14:solidFill>
          </w14:textFill>
        </w:rPr>
        <w:t>2720</w:t>
      </w:r>
      <w:r>
        <w:rPr>
          <w:rFonts w:hint="eastAsia" w:ascii="仿宋_GB2312" w:hAnsi="ˎ̥" w:eastAsia="仿宋_GB2312" w:cs="Times New Roman"/>
          <w:color w:val="000000" w:themeColor="text1"/>
          <w:sz w:val="32"/>
          <w:szCs w:val="32"/>
          <w14:textFill>
            <w14:solidFill>
              <w14:schemeClr w14:val="tx1"/>
            </w14:solidFill>
          </w14:textFill>
        </w:rPr>
        <w:t>平方米，其中：办公用房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平方米，业务用房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2720</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14:paraId="052BC242">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410F64BC">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539E63C6">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7DDD5385">
      <w:pPr>
        <w:jc w:val="center"/>
        <w:rPr>
          <w:rFonts w:ascii="黑体" w:hAnsi="ˎ̥" w:eastAsia="黑体" w:cs="Times New Roman"/>
          <w:sz w:val="32"/>
          <w:szCs w:val="32"/>
        </w:rPr>
      </w:pPr>
      <w:bookmarkStart w:id="117" w:name="_Toc11039_WPSOffice_Level1"/>
      <w:bookmarkStart w:id="118" w:name="_Toc4398_WPSOffice_Level1"/>
      <w:bookmarkStart w:id="119" w:name="_Toc15425_WPSOffice_Level1"/>
      <w:bookmarkStart w:id="120" w:name="_Toc8808_WPSOffice_Level1"/>
      <w:bookmarkStart w:id="121" w:name="_Toc8874_WPSOffice_Level1"/>
      <w:bookmarkStart w:id="122" w:name="_Toc17580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14:paraId="033953CE">
      <w:pPr>
        <w:jc w:val="center"/>
        <w:rPr>
          <w:rFonts w:ascii="黑体" w:hAnsi="ˎ̥" w:eastAsia="黑体" w:cs="Times New Roman"/>
          <w:sz w:val="32"/>
          <w:szCs w:val="32"/>
        </w:rPr>
      </w:pPr>
    </w:p>
    <w:p w14:paraId="55FC36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5B4C77F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4A37FD7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198CC36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5FD869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424C32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33BBFDF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2307AD1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12C1317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032B547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6BEE12C4">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71FE94C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85559C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52648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十四、（支出功能分类的名词解释，各部门（单位）根据实际支出情况填列，可参阅财政部印发的《2019年政府收支分类科目》）</w:t>
      </w:r>
    </w:p>
    <w:p w14:paraId="46AE8CDE"/>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170B0">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6E5A11F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F5F5A">
    <w:pPr>
      <w:pStyle w:val="2"/>
      <w:framePr w:wrap="around" w:vAnchor="text" w:hAnchor="margin" w:xAlign="center" w:y="1"/>
      <w:rPr>
        <w:rStyle w:val="6"/>
      </w:rPr>
    </w:pPr>
    <w:r>
      <w:fldChar w:fldCharType="begin"/>
    </w:r>
    <w:r>
      <w:rPr>
        <w:rStyle w:val="6"/>
      </w:rPr>
      <w:instrText xml:space="preserve">PAGE  </w:instrText>
    </w:r>
    <w:r>
      <w:fldChar w:fldCharType="end"/>
    </w:r>
  </w:p>
  <w:p w14:paraId="46A0763C">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1YzNmNzFmODZjZjdkNWFiNTYxOWM1ZTZiMzdhMzU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6407C"/>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5A3690F"/>
    <w:rsid w:val="05E6585C"/>
    <w:rsid w:val="07A31495"/>
    <w:rsid w:val="09C70460"/>
    <w:rsid w:val="0A1826B3"/>
    <w:rsid w:val="0A31526B"/>
    <w:rsid w:val="0C6F2338"/>
    <w:rsid w:val="0DEE1A67"/>
    <w:rsid w:val="110D1A72"/>
    <w:rsid w:val="14D918C2"/>
    <w:rsid w:val="165E00EE"/>
    <w:rsid w:val="17124C72"/>
    <w:rsid w:val="1B084650"/>
    <w:rsid w:val="1C154D29"/>
    <w:rsid w:val="1DB70523"/>
    <w:rsid w:val="1E3E4F0A"/>
    <w:rsid w:val="20E36D41"/>
    <w:rsid w:val="210461B3"/>
    <w:rsid w:val="22B23034"/>
    <w:rsid w:val="242B4E3C"/>
    <w:rsid w:val="24F074C2"/>
    <w:rsid w:val="2562714D"/>
    <w:rsid w:val="25BA09E5"/>
    <w:rsid w:val="27E16118"/>
    <w:rsid w:val="28400AC7"/>
    <w:rsid w:val="28EB477E"/>
    <w:rsid w:val="2D234F9C"/>
    <w:rsid w:val="2F7F4E2C"/>
    <w:rsid w:val="30762518"/>
    <w:rsid w:val="319F04F9"/>
    <w:rsid w:val="32D570E6"/>
    <w:rsid w:val="34EA2D09"/>
    <w:rsid w:val="34EC7728"/>
    <w:rsid w:val="357021CB"/>
    <w:rsid w:val="35B6696D"/>
    <w:rsid w:val="36315DCC"/>
    <w:rsid w:val="39AD76D2"/>
    <w:rsid w:val="3A981EFF"/>
    <w:rsid w:val="3D9D05CF"/>
    <w:rsid w:val="403C130B"/>
    <w:rsid w:val="41573D1B"/>
    <w:rsid w:val="41FD481A"/>
    <w:rsid w:val="42982C27"/>
    <w:rsid w:val="4439397F"/>
    <w:rsid w:val="44F54D66"/>
    <w:rsid w:val="4705491E"/>
    <w:rsid w:val="47870662"/>
    <w:rsid w:val="49255820"/>
    <w:rsid w:val="4A914BA1"/>
    <w:rsid w:val="4C920D4B"/>
    <w:rsid w:val="4D9964EA"/>
    <w:rsid w:val="50636B18"/>
    <w:rsid w:val="50710CB3"/>
    <w:rsid w:val="50C8471E"/>
    <w:rsid w:val="55CE46B5"/>
    <w:rsid w:val="55F5398B"/>
    <w:rsid w:val="55F8457D"/>
    <w:rsid w:val="58067E17"/>
    <w:rsid w:val="59EC62F0"/>
    <w:rsid w:val="5B8816A9"/>
    <w:rsid w:val="5CCB4073"/>
    <w:rsid w:val="5D200291"/>
    <w:rsid w:val="5DE34B5D"/>
    <w:rsid w:val="5ECD1A47"/>
    <w:rsid w:val="61EF7CBE"/>
    <w:rsid w:val="6348098D"/>
    <w:rsid w:val="63BC4387"/>
    <w:rsid w:val="641968FC"/>
    <w:rsid w:val="665708AA"/>
    <w:rsid w:val="6730746C"/>
    <w:rsid w:val="6A170CCD"/>
    <w:rsid w:val="6AD42215"/>
    <w:rsid w:val="6B675C3C"/>
    <w:rsid w:val="6BE662DA"/>
    <w:rsid w:val="6E340F38"/>
    <w:rsid w:val="70382752"/>
    <w:rsid w:val="70AA07D0"/>
    <w:rsid w:val="70AC7790"/>
    <w:rsid w:val="719D784E"/>
    <w:rsid w:val="720B1B57"/>
    <w:rsid w:val="750254F7"/>
    <w:rsid w:val="75213D37"/>
    <w:rsid w:val="753F4E19"/>
    <w:rsid w:val="754D5B45"/>
    <w:rsid w:val="75EF7DDE"/>
    <w:rsid w:val="7665033E"/>
    <w:rsid w:val="76CD60C3"/>
    <w:rsid w:val="777C3B73"/>
    <w:rsid w:val="77CB0F21"/>
    <w:rsid w:val="77F90E1D"/>
    <w:rsid w:val="780C50C4"/>
    <w:rsid w:val="78E02FEE"/>
    <w:rsid w:val="79A0064C"/>
    <w:rsid w:val="7AD503D1"/>
    <w:rsid w:val="7B7C3913"/>
    <w:rsid w:val="7BFD764B"/>
    <w:rsid w:val="7C4371FA"/>
    <w:rsid w:val="7CB17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3118</Words>
  <Characters>3507</Characters>
  <Lines>51</Lines>
  <Paragraphs>14</Paragraphs>
  <TotalTime>16</TotalTime>
  <ScaleCrop>false</ScaleCrop>
  <LinksUpToDate>false</LinksUpToDate>
  <CharactersWithSpaces>3596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叶民可</cp:lastModifiedBy>
  <cp:lastPrinted>2023-09-26T01:31:00Z</cp:lastPrinted>
  <dcterms:modified xsi:type="dcterms:W3CDTF">2024-10-16T03:08:36Z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A2C2E20680C741CEBA5DEA5F78F9C2CC_13</vt:lpwstr>
  </property>
</Properties>
</file>