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DF1A6">
      <w:pPr>
        <w:rPr>
          <w:rFonts w:ascii="黑体" w:hAnsi="宋体" w:eastAsia="黑体"/>
          <w:sz w:val="32"/>
          <w:szCs w:val="32"/>
        </w:rPr>
      </w:pPr>
      <w:r>
        <w:rPr>
          <w:rFonts w:hint="eastAsia" w:ascii="黑体" w:hAnsi="宋体" w:eastAsia="黑体"/>
          <w:sz w:val="32"/>
          <w:szCs w:val="32"/>
        </w:rPr>
        <w:t>附件1：</w:t>
      </w:r>
    </w:p>
    <w:p w14:paraId="13D6BF2B">
      <w:pPr>
        <w:rPr>
          <w:rFonts w:ascii="宋体"/>
          <w:sz w:val="30"/>
          <w:szCs w:val="30"/>
        </w:rPr>
      </w:pPr>
    </w:p>
    <w:p w14:paraId="437E565D">
      <w:pPr>
        <w:jc w:val="center"/>
        <w:rPr>
          <w:rFonts w:ascii="黑体" w:hAnsi="??" w:eastAsia="黑体"/>
          <w:sz w:val="44"/>
          <w:szCs w:val="44"/>
        </w:rPr>
      </w:pPr>
      <w:r>
        <w:rPr>
          <w:rFonts w:hint="eastAsia" w:ascii="黑体" w:hAnsi="??" w:eastAsia="黑体"/>
          <w:sz w:val="44"/>
          <w:szCs w:val="44"/>
        </w:rPr>
        <w:t>三亚市天涯区</w:t>
      </w:r>
      <w:r>
        <w:rPr>
          <w:rFonts w:hint="eastAsia" w:ascii="黑体" w:hAnsi="??" w:eastAsia="黑体"/>
          <w:sz w:val="44"/>
          <w:szCs w:val="44"/>
          <w:lang w:eastAsia="zh-CN"/>
        </w:rPr>
        <w:t>过岭幼儿园2023</w:t>
      </w:r>
      <w:r>
        <w:rPr>
          <w:rFonts w:hint="eastAsia" w:ascii="黑体" w:hAnsi="??" w:eastAsia="黑体"/>
          <w:sz w:val="44"/>
          <w:szCs w:val="44"/>
        </w:rPr>
        <w:t>年度</w:t>
      </w:r>
    </w:p>
    <w:p w14:paraId="25B9314E">
      <w:pPr>
        <w:jc w:val="center"/>
        <w:rPr>
          <w:rFonts w:ascii="黑体" w:hAnsi="??" w:eastAsia="黑体"/>
          <w:sz w:val="44"/>
          <w:szCs w:val="44"/>
        </w:rPr>
      </w:pPr>
      <w:r>
        <w:rPr>
          <w:rFonts w:hint="eastAsia" w:ascii="黑体" w:hAnsi="??" w:eastAsia="黑体"/>
          <w:sz w:val="44"/>
          <w:szCs w:val="44"/>
        </w:rPr>
        <w:t>部门决算公开文字说明</w:t>
      </w:r>
    </w:p>
    <w:p w14:paraId="687EBD8D">
      <w:pPr>
        <w:jc w:val="center"/>
        <w:rPr>
          <w:rFonts w:ascii="黑体" w:hAnsi="??" w:eastAsia="黑体"/>
          <w:b/>
          <w:sz w:val="32"/>
          <w:szCs w:val="32"/>
        </w:rPr>
      </w:pPr>
    </w:p>
    <w:p w14:paraId="0A8F0A84">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14:paraId="1B71B1A0">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过岭幼儿园</w:t>
      </w:r>
      <w:r>
        <w:rPr>
          <w:rFonts w:hint="eastAsia" w:ascii="黑体" w:hAnsi="??" w:eastAsia="黑体"/>
          <w:kern w:val="0"/>
          <w:sz w:val="32"/>
          <w:szCs w:val="32"/>
        </w:rPr>
        <w:t>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26E10529">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一、单位职责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5E2CC16">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EFBE405">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过岭幼儿园2023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5A60EB40">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9FD8128">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004F261">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DAA53D2">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007EB7B">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EF238FB">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B4707EB">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4C503AA">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B6ED1F3">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D411D10">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14:paraId="11DE952E">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7534502F">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ascii="Times New Roman" w:hAnsi="Times New Roman"/>
          <w:kern w:val="0"/>
          <w:sz w:val="32"/>
          <w:szCs w:val="32"/>
        </w:rPr>
        <w:t xml:space="preserve">  </w:t>
      </w:r>
      <w:r>
        <w:rPr>
          <w:rFonts w:hint="eastAsia" w:ascii="黑体" w:hAnsi="黑体" w:eastAsia="黑体"/>
          <w:kern w:val="0"/>
          <w:sz w:val="32"/>
          <w:szCs w:val="32"/>
        </w:rPr>
        <w:t>三亚市天涯区</w:t>
      </w:r>
      <w:r>
        <w:rPr>
          <w:rFonts w:hint="eastAsia" w:ascii="黑体" w:hAnsi="??" w:eastAsia="黑体"/>
          <w:kern w:val="0"/>
          <w:sz w:val="32"/>
          <w:szCs w:val="32"/>
          <w:lang w:eastAsia="zh-CN"/>
        </w:rPr>
        <w:t>过岭幼儿园2023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14:paraId="56D5FFB6">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14:paraId="20C3AA9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28D0DD2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0D7AE3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CE97C0C">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14:paraId="1C453A86">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14:paraId="4617BA5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2F2901D9">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37281825">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23D4E141">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14:paraId="5006C216">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70635F54">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22E08B93">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124F8F72">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17330DC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10</w:t>
      </w:r>
    </w:p>
    <w:p w14:paraId="018993E8">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14:paraId="45EBFBB8">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4</w:t>
      </w:r>
    </w:p>
    <w:p w14:paraId="42A87262">
      <w:pPr>
        <w:jc w:val="left"/>
        <w:rPr>
          <w:rFonts w:ascii="黑体" w:hAnsi="黑体" w:eastAsia="黑体" w:cs="黑体"/>
          <w:sz w:val="32"/>
          <w:szCs w:val="32"/>
        </w:rPr>
      </w:pPr>
    </w:p>
    <w:p w14:paraId="1DB949C2">
      <w:pPr>
        <w:jc w:val="center"/>
        <w:rPr>
          <w:rFonts w:ascii="黑体" w:hAnsi="??" w:eastAsia="黑体"/>
          <w:b/>
          <w:sz w:val="32"/>
          <w:szCs w:val="32"/>
        </w:rPr>
      </w:pPr>
    </w:p>
    <w:p w14:paraId="0192A676">
      <w:pPr>
        <w:jc w:val="center"/>
        <w:rPr>
          <w:rFonts w:ascii="黑体" w:hAnsi="??" w:eastAsia="黑体"/>
          <w:sz w:val="32"/>
          <w:szCs w:val="32"/>
        </w:rPr>
      </w:pPr>
      <w:bookmarkStart w:id="2" w:name="_Toc32433_WPSOffice_Level1"/>
      <w:bookmarkStart w:id="3" w:name="_Toc23465_WPSOffice_Level1"/>
      <w:bookmarkStart w:id="4" w:name="_Toc10720_WPSOffice_Level1"/>
      <w:bookmarkStart w:id="5" w:name="_Toc1704_WPSOffice_Level1"/>
      <w:bookmarkStart w:id="6" w:name="_Toc22941_WPSOffice_Level1"/>
      <w:bookmarkStart w:id="7" w:name="_Toc10049_WPSOffice_Level1"/>
      <w:bookmarkStart w:id="8" w:name="_Toc24238_WPSOffice_Level2"/>
      <w:bookmarkStart w:id="9" w:name="_Toc14159_WPSOffice_Level2"/>
      <w:bookmarkStart w:id="10" w:name="_Toc20205_WPSOffice_Level2"/>
      <w:bookmarkStart w:id="11" w:name="_Toc26580_WPSOffice_Level2"/>
      <w:bookmarkStart w:id="12" w:name="_Toc32622_WPSOffice_Level2"/>
      <w:bookmarkStart w:id="13" w:name="_Toc20274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过岭幼儿园</w:t>
      </w:r>
      <w:r>
        <w:rPr>
          <w:rFonts w:hint="eastAsia" w:ascii="黑体" w:hAnsi="??" w:eastAsia="黑体"/>
          <w:sz w:val="32"/>
          <w:szCs w:val="32"/>
        </w:rPr>
        <w:t>单位概况</w:t>
      </w:r>
      <w:bookmarkEnd w:id="2"/>
      <w:bookmarkEnd w:id="3"/>
      <w:bookmarkEnd w:id="4"/>
      <w:bookmarkEnd w:id="5"/>
      <w:bookmarkEnd w:id="6"/>
      <w:bookmarkEnd w:id="7"/>
    </w:p>
    <w:p w14:paraId="2B7ECB87">
      <w:pPr>
        <w:ind w:firstLine="640" w:firstLineChars="200"/>
        <w:rPr>
          <w:rFonts w:ascii="楷体" w:hAnsi="楷体" w:eastAsia="楷体" w:cs="楷体"/>
          <w:sz w:val="32"/>
          <w:szCs w:val="32"/>
        </w:rPr>
      </w:pPr>
    </w:p>
    <w:p w14:paraId="07DFE7DC">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39E3F7FE">
      <w:pPr>
        <w:pStyle w:val="10"/>
        <w:ind w:firstLineChars="0"/>
        <w:jc w:val="left"/>
        <w:rPr>
          <w:rFonts w:ascii="黑体" w:hAnsi="黑体" w:eastAsia="黑体" w:cs="仿宋_GB2312"/>
          <w:sz w:val="32"/>
          <w:szCs w:val="32"/>
        </w:rPr>
      </w:pPr>
      <w:bookmarkStart w:id="14" w:name="_Toc24474_WPSOffice_Level2"/>
      <w:bookmarkStart w:id="15" w:name="_Toc24059_WPSOffice_Level2"/>
      <w:bookmarkStart w:id="16" w:name="_Toc6572_WPSOffice_Level2"/>
      <w:bookmarkStart w:id="17" w:name="_Toc4833_WPSOffice_Level2"/>
      <w:bookmarkStart w:id="18" w:name="_Toc17796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1E7D01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6E279608">
      <w:pPr>
        <w:ind w:firstLine="640" w:firstLineChars="200"/>
        <w:rPr>
          <w:rFonts w:ascii="仿宋_GB2312" w:hAnsi="??" w:eastAsia="仿宋_GB2312"/>
          <w:sz w:val="32"/>
          <w:szCs w:val="32"/>
        </w:rPr>
      </w:pPr>
      <w:bookmarkStart w:id="19" w:name="_Toc15521_WPSOffice_Level1"/>
      <w:bookmarkStart w:id="20" w:name="_Toc30451_WPSOffice_Level1"/>
      <w:bookmarkStart w:id="21" w:name="_Toc28253_WPSOffice_Level1"/>
      <w:bookmarkStart w:id="22" w:name="_Toc8164_WPSOffice_Level1"/>
      <w:bookmarkStart w:id="23" w:name="_Toc30690_WPSOffice_Level1"/>
      <w:bookmarkStart w:id="24" w:name="_Toc6234_WPSOffice_Level1"/>
      <w:bookmarkStart w:id="25" w:name="_Toc6211_WPSOffice_Level2"/>
      <w:bookmarkStart w:id="26" w:name="_Toc8867_WPSOffice_Level2"/>
      <w:bookmarkStart w:id="27" w:name="_Toc32695_WPSOffice_Level2"/>
      <w:bookmarkStart w:id="28" w:name="_Toc11518_WPSOffice_Level2"/>
      <w:bookmarkStart w:id="29" w:name="_Toc4029_WPSOffice_Level2"/>
      <w:bookmarkStart w:id="30" w:name="_Toc32472_WPSOffice_Level2"/>
      <w:r>
        <w:rPr>
          <w:rFonts w:hint="eastAsia" w:ascii="仿宋_GB2312" w:hAnsi="??" w:eastAsia="仿宋_GB2312"/>
          <w:sz w:val="32"/>
          <w:szCs w:val="32"/>
        </w:rPr>
        <w:t>单位内设机构即包括：</w:t>
      </w:r>
    </w:p>
    <w:p w14:paraId="209D0646">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4303B5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0E143F63">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74C15BC5">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10B5D6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3CE13C25">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1955DC7A">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过岭幼儿园2023</w:t>
      </w:r>
      <w:r>
        <w:rPr>
          <w:rFonts w:hint="eastAsia" w:ascii="黑体" w:hAnsi="??" w:eastAsia="黑体"/>
          <w:sz w:val="32"/>
          <w:szCs w:val="32"/>
        </w:rPr>
        <w:t>年度部门决算公开报表</w:t>
      </w:r>
      <w:bookmarkEnd w:id="19"/>
      <w:bookmarkEnd w:id="20"/>
      <w:bookmarkEnd w:id="21"/>
      <w:bookmarkEnd w:id="22"/>
      <w:bookmarkEnd w:id="23"/>
      <w:bookmarkEnd w:id="24"/>
    </w:p>
    <w:p w14:paraId="3A7B73C6">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1533884F">
      <w:pPr>
        <w:ind w:firstLine="645"/>
        <w:rPr>
          <w:rFonts w:ascii="黑体" w:hAnsi="黑体" w:eastAsia="黑体" w:cs="黑体"/>
          <w:sz w:val="32"/>
          <w:szCs w:val="32"/>
        </w:rPr>
      </w:pPr>
      <w:bookmarkStart w:id="35" w:name="_Toc25608_WPSOffice_Level2"/>
      <w:bookmarkStart w:id="36" w:name="_Toc26621_WPSOffice_Level2"/>
      <w:bookmarkStart w:id="37" w:name="_Toc23139_WPSOffice_Level2"/>
      <w:bookmarkStart w:id="38" w:name="_Toc14349_WPSOffice_Level2"/>
      <w:bookmarkStart w:id="39" w:name="_Toc30334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6109C54F">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25FD06B6">
      <w:pPr>
        <w:ind w:firstLine="645"/>
        <w:rPr>
          <w:rFonts w:ascii="黑体" w:hAnsi="黑体" w:eastAsia="黑体" w:cs="黑体"/>
          <w:sz w:val="32"/>
          <w:szCs w:val="32"/>
        </w:rPr>
      </w:pPr>
      <w:bookmarkStart w:id="47" w:name="_Toc13701_WPSOffice_Level2"/>
      <w:bookmarkStart w:id="48" w:name="_Toc21415_WPSOffice_Level2"/>
      <w:bookmarkStart w:id="49" w:name="_Toc23591_WPSOffice_Level2"/>
      <w:bookmarkStart w:id="50" w:name="_Toc23493_WPSOffice_Level2"/>
      <w:bookmarkStart w:id="51" w:name="_Toc7988_WPSOffice_Level2"/>
      <w:bookmarkStart w:id="52" w:name="_Toc4265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05F0C88A">
      <w:pPr>
        <w:ind w:firstLine="645"/>
        <w:rPr>
          <w:rFonts w:ascii="黑体" w:hAnsi="黑体" w:eastAsia="黑体" w:cs="黑体"/>
          <w:sz w:val="32"/>
          <w:szCs w:val="32"/>
        </w:rPr>
      </w:pPr>
      <w:bookmarkStart w:id="53" w:name="_Toc7879_WPSOffice_Level2"/>
      <w:bookmarkStart w:id="54" w:name="_Toc22783_WPSOffice_Level2"/>
      <w:bookmarkStart w:id="55" w:name="_Toc25166_WPSOffice_Level2"/>
      <w:bookmarkStart w:id="56" w:name="_Toc2382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153E8E01">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39CB7E94">
      <w:pPr>
        <w:ind w:firstLine="645"/>
        <w:rPr>
          <w:rFonts w:ascii="黑体" w:hAnsi="黑体" w:eastAsia="黑体" w:cs="黑体"/>
          <w:sz w:val="32"/>
          <w:szCs w:val="32"/>
        </w:rPr>
      </w:pPr>
      <w:bookmarkStart w:id="59" w:name="_Toc25362_WPSOffice_Level2"/>
      <w:bookmarkStart w:id="60" w:name="_Toc8373_WPSOffice_Level2"/>
      <w:bookmarkStart w:id="61" w:name="_Toc17283_WPSOffice_Level2"/>
      <w:bookmarkStart w:id="62" w:name="_Toc2632_WPSOffice_Level2"/>
      <w:bookmarkStart w:id="63" w:name="_Toc5343_WPSOffice_Level2"/>
      <w:bookmarkStart w:id="64" w:name="_Toc1783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097176AC">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67E15E60">
      <w:pPr>
        <w:ind w:left="1118" w:leftChars="304" w:hanging="480" w:hangingChars="150"/>
        <w:rPr>
          <w:rFonts w:ascii="黑体" w:hAnsi="黑体" w:eastAsia="黑体" w:cs="黑体"/>
          <w:sz w:val="32"/>
          <w:szCs w:val="32"/>
        </w:rPr>
      </w:pPr>
      <w:bookmarkStart w:id="65" w:name="_Toc1533_WPSOffice_Level2"/>
      <w:bookmarkStart w:id="66" w:name="_Toc13345_WPSOffice_Level2"/>
      <w:bookmarkStart w:id="67" w:name="_Toc6020_WPSOffice_Level2"/>
      <w:bookmarkStart w:id="68" w:name="_Toc21310_WPSOffice_Level2"/>
      <w:bookmarkStart w:id="69" w:name="_Toc11799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5947157D">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3611236">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1F1001B4">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4BFD2818">
      <w:pPr>
        <w:rPr>
          <w:rFonts w:ascii="黑体" w:hAnsi="黑体" w:eastAsia="黑体" w:cs="黑体"/>
          <w:sz w:val="32"/>
          <w:szCs w:val="32"/>
        </w:rPr>
      </w:pPr>
      <w:bookmarkStart w:id="71" w:name="_Toc9377_WPSOffice_Level2"/>
      <w:bookmarkStart w:id="72" w:name="_Toc1820_WPSOffice_Level2"/>
      <w:bookmarkStart w:id="73" w:name="_Toc19961_WPSOffice_Level2"/>
      <w:bookmarkStart w:id="74" w:name="_Toc29886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p w14:paraId="28E230BB">
      <w:pPr>
        <w:rPr>
          <w:rFonts w:ascii="黑体" w:hAnsi="黑体" w:eastAsia="黑体" w:cs="黑体"/>
          <w:sz w:val="32"/>
          <w:szCs w:val="32"/>
        </w:rPr>
      </w:pPr>
      <w:r>
        <w:rPr>
          <w:rFonts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3147F8DB">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14:paraId="158A3FE2">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57D41D11">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14:paraId="3FDE2A3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689240A0">
      <w:pPr>
        <w:rPr>
          <w:rFonts w:ascii="黑体" w:hAnsi="黑体" w:eastAsia="黑体" w:cs="黑体"/>
          <w:sz w:val="32"/>
          <w:szCs w:val="32"/>
        </w:rPr>
      </w:pPr>
    </w:p>
    <w:p w14:paraId="0462D5FC">
      <w:pPr>
        <w:jc w:val="center"/>
        <w:rPr>
          <w:rFonts w:ascii="黑体" w:hAnsi="??" w:eastAsia="黑体"/>
          <w:sz w:val="32"/>
          <w:szCs w:val="32"/>
        </w:rPr>
      </w:pPr>
      <w:bookmarkStart w:id="75" w:name="_Toc29683_WPSOffice_Level1"/>
      <w:bookmarkStart w:id="76" w:name="_Toc28629_WPSOffice_Level1"/>
      <w:bookmarkStart w:id="77" w:name="_Toc27590_WPSOffice_Level1"/>
      <w:bookmarkStart w:id="78" w:name="_Toc16686_WPSOffice_Level1"/>
      <w:bookmarkStart w:id="79" w:name="_Toc4402_WPSOffice_Level1"/>
      <w:bookmarkStart w:id="80" w:name="_Toc31264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过岭幼儿园2023</w:t>
      </w:r>
      <w:r>
        <w:rPr>
          <w:rFonts w:hint="eastAsia" w:ascii="黑体" w:hAnsi="??" w:eastAsia="黑体"/>
          <w:sz w:val="32"/>
          <w:szCs w:val="32"/>
        </w:rPr>
        <w:t>年度部门决算情况说明</w:t>
      </w:r>
      <w:bookmarkEnd w:id="75"/>
      <w:bookmarkEnd w:id="76"/>
      <w:bookmarkEnd w:id="77"/>
      <w:bookmarkEnd w:id="78"/>
      <w:bookmarkEnd w:id="79"/>
      <w:bookmarkEnd w:id="80"/>
    </w:p>
    <w:p w14:paraId="568F3B05">
      <w:pPr>
        <w:jc w:val="center"/>
        <w:rPr>
          <w:rFonts w:ascii="黑体" w:hAnsi="??" w:eastAsia="黑体"/>
          <w:sz w:val="32"/>
          <w:szCs w:val="32"/>
        </w:rPr>
      </w:pPr>
    </w:p>
    <w:p w14:paraId="4C326E41">
      <w:pPr>
        <w:ind w:firstLine="640" w:firstLineChars="200"/>
        <w:rPr>
          <w:rFonts w:ascii="仿宋_GB2312" w:hAnsi="??" w:eastAsia="仿宋_GB2312"/>
          <w:sz w:val="32"/>
          <w:szCs w:val="32"/>
        </w:rPr>
      </w:pPr>
      <w:r>
        <w:rPr>
          <w:rFonts w:hint="eastAsia" w:ascii="黑体" w:hAnsi="黑体" w:eastAsia="黑体" w:cs="黑体"/>
          <w:bCs/>
          <w:sz w:val="32"/>
          <w:szCs w:val="32"/>
        </w:rPr>
        <w:t>一、收入支出决算总体情况说明</w:t>
      </w:r>
    </w:p>
    <w:p w14:paraId="06F1058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年度收入总计</w:t>
      </w:r>
      <w:r>
        <w:rPr>
          <w:rFonts w:hint="eastAsia" w:ascii="仿宋_GB2312" w:hAnsi="??" w:eastAsia="仿宋_GB2312"/>
          <w:sz w:val="32"/>
          <w:szCs w:val="32"/>
          <w:lang w:val="en-US" w:eastAsia="zh-CN"/>
        </w:rPr>
        <w:t>180</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180</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年度相比，收入、支出总计各</w:t>
      </w:r>
      <w:r>
        <w:rPr>
          <w:rFonts w:hint="eastAsia" w:ascii="仿宋_GB2312" w:hAnsi="??" w:eastAsia="仿宋_GB2312"/>
          <w:sz w:val="32"/>
          <w:szCs w:val="32"/>
          <w:lang w:val="en-US" w:eastAsia="zh-CN"/>
        </w:rPr>
        <w:t>增加26.54</w:t>
      </w:r>
      <w:r>
        <w:rPr>
          <w:rFonts w:hint="eastAsia" w:ascii="仿宋_GB2312" w:hAnsi="??" w:eastAsia="仿宋_GB2312"/>
          <w:sz w:val="32"/>
          <w:szCs w:val="32"/>
        </w:rPr>
        <w:t>万元，</w:t>
      </w:r>
      <w:r>
        <w:rPr>
          <w:rFonts w:hint="eastAsia" w:ascii="仿宋_GB2312" w:hAnsi="??" w:eastAsia="仿宋_GB2312"/>
          <w:sz w:val="32"/>
          <w:szCs w:val="32"/>
          <w:lang w:val="en-US" w:eastAsia="zh-CN"/>
        </w:rPr>
        <w:t>增长14.74</w:t>
      </w:r>
      <w:r>
        <w:rPr>
          <w:rFonts w:ascii="仿宋_GB2312" w:hAnsi="??" w:eastAsia="仿宋_GB2312"/>
          <w:sz w:val="32"/>
          <w:szCs w:val="32"/>
        </w:rPr>
        <w:t>%</w:t>
      </w:r>
      <w:r>
        <w:rPr>
          <w:rFonts w:hint="eastAsia" w:ascii="仿宋_GB2312" w:hAnsi="??" w:eastAsia="仿宋_GB2312"/>
          <w:sz w:val="32"/>
          <w:szCs w:val="32"/>
        </w:rPr>
        <w:t>。主要原因：是人员</w:t>
      </w:r>
      <w:r>
        <w:rPr>
          <w:rFonts w:hint="eastAsia" w:ascii="仿宋_GB2312" w:hAnsi="??" w:eastAsia="仿宋_GB2312"/>
          <w:sz w:val="32"/>
          <w:szCs w:val="32"/>
          <w:lang w:val="en-US" w:eastAsia="zh-CN"/>
        </w:rPr>
        <w:t>工资、社保增加</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万元，结余分配</w:t>
      </w:r>
      <w:r>
        <w:rPr>
          <w:rFonts w:ascii="仿宋_GB2312" w:hAnsi="??" w:eastAsia="仿宋_GB2312"/>
          <w:sz w:val="32"/>
          <w:szCs w:val="32"/>
        </w:rPr>
        <w:t>0</w:t>
      </w:r>
      <w:r>
        <w:rPr>
          <w:rFonts w:hint="eastAsia" w:ascii="仿宋_GB2312" w:hAnsi="??" w:eastAsia="仿宋_GB2312"/>
          <w:sz w:val="32"/>
          <w:szCs w:val="32"/>
        </w:rPr>
        <w:t>万元。年末结转结余0万元，</w:t>
      </w:r>
      <w:r>
        <w:rPr>
          <w:rFonts w:hint="eastAsia" w:ascii="仿宋_GB2312" w:hAnsi="??" w:eastAsia="仿宋_GB2312"/>
          <w:sz w:val="32"/>
          <w:szCs w:val="32"/>
          <w:lang w:val="en-US" w:eastAsia="zh-CN"/>
        </w:rPr>
        <w:t>较</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r>
        <w:rPr>
          <w:rFonts w:hint="default" w:ascii="仿宋_GB2312" w:hAnsi="ˎ̥" w:eastAsia="仿宋_GB2312" w:cs="仿宋_GB2312"/>
          <w:kern w:val="0"/>
          <w:sz w:val="32"/>
          <w:szCs w:val="32"/>
          <w:shd w:val="clear" w:color="auto" w:fill="FFFFFF"/>
        </w:rPr>
        <w:t xml:space="preserve">。 </w:t>
      </w:r>
    </w:p>
    <w:p w14:paraId="646A809B">
      <w:pPr>
        <w:ind w:firstLine="640" w:firstLineChars="200"/>
        <w:rPr>
          <w:rFonts w:ascii="黑体" w:hAnsi="黑体" w:eastAsia="黑体" w:cs="黑体"/>
          <w:bCs/>
          <w:sz w:val="32"/>
          <w:szCs w:val="32"/>
        </w:rPr>
      </w:pPr>
      <w:r>
        <w:rPr>
          <w:rFonts w:hint="eastAsia" w:ascii="黑体" w:hAnsi="黑体" w:eastAsia="黑体" w:cs="黑体"/>
          <w:bCs/>
          <w:sz w:val="32"/>
          <w:szCs w:val="32"/>
        </w:rPr>
        <w:t>二、收入决算情况说明</w:t>
      </w:r>
    </w:p>
    <w:p w14:paraId="5BBFFEDE">
      <w:pPr>
        <w:ind w:firstLine="640" w:firstLineChars="200"/>
        <w:rPr>
          <w:rFonts w:ascii="仿宋_GB2312" w:hAnsi="??" w:eastAsia="仿宋_GB2312"/>
          <w:sz w:val="32"/>
          <w:szCs w:val="32"/>
        </w:rPr>
      </w:pPr>
      <w:r>
        <w:rPr>
          <w:rFonts w:hint="eastAsia" w:ascii="仿宋_GB2312" w:hAnsi="??" w:eastAsia="仿宋_GB2312"/>
          <w:sz w:val="32"/>
          <w:szCs w:val="32"/>
        </w:rPr>
        <w:t>本年收入合计</w:t>
      </w:r>
      <w:r>
        <w:rPr>
          <w:rFonts w:hint="eastAsia" w:ascii="仿宋_GB2312" w:hAnsi="??" w:eastAsia="仿宋_GB2312"/>
          <w:sz w:val="32"/>
          <w:szCs w:val="32"/>
          <w:lang w:val="en-US" w:eastAsia="zh-CN"/>
        </w:rPr>
        <w:t>180</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180</w:t>
      </w:r>
      <w:r>
        <w:rPr>
          <w:rFonts w:hint="eastAsia" w:ascii="仿宋_GB2312" w:hAnsi="??" w:eastAsia="仿宋_GB2312"/>
          <w:sz w:val="32"/>
          <w:szCs w:val="32"/>
        </w:rPr>
        <w:t>万元，占</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；上级补助收入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；事业收入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；附属单位上缴收入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；其他收入</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7E3450AC">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7A6B2192">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180</w:t>
      </w:r>
      <w:r>
        <w:rPr>
          <w:rFonts w:hint="eastAsia" w:ascii="仿宋_GB2312" w:hAnsi="??" w:eastAsia="仿宋_GB2312"/>
          <w:sz w:val="32"/>
          <w:szCs w:val="32"/>
        </w:rPr>
        <w:t>万元，其中：基本支出</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；项目支出</w:t>
      </w:r>
      <w:r>
        <w:rPr>
          <w:rFonts w:hint="eastAsia" w:ascii="仿宋_GB2312" w:hAnsi="??" w:eastAsia="仿宋_GB2312"/>
          <w:sz w:val="32"/>
          <w:szCs w:val="32"/>
          <w:lang w:val="en-US" w:eastAsia="zh-CN"/>
        </w:rPr>
        <w:t>180</w:t>
      </w:r>
      <w:r>
        <w:rPr>
          <w:rFonts w:hint="eastAsia" w:ascii="仿宋_GB2312" w:hAnsi="??" w:eastAsia="仿宋_GB2312"/>
          <w:sz w:val="32"/>
          <w:szCs w:val="32"/>
        </w:rPr>
        <w:t>万元，占</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；上缴上级支出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；对附属单位补助支出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7C0EAE09">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56AF7C7">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年度财政拨款收入总计</w:t>
      </w:r>
      <w:r>
        <w:rPr>
          <w:rFonts w:hint="eastAsia" w:ascii="仿宋_GB2312" w:hAnsi="??" w:eastAsia="仿宋_GB2312"/>
          <w:sz w:val="32"/>
          <w:szCs w:val="32"/>
          <w:lang w:val="en-US" w:eastAsia="zh-CN"/>
        </w:rPr>
        <w:t>180</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180</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w:t>
      </w:r>
      <w:r>
        <w:rPr>
          <w:rFonts w:hint="eastAsia" w:ascii="仿宋_GB2312" w:hAnsi="??" w:eastAsia="仿宋_GB2312"/>
          <w:sz w:val="32"/>
          <w:szCs w:val="32"/>
          <w:lang w:val="en-US" w:eastAsia="zh-CN"/>
        </w:rPr>
        <w:t>和</w:t>
      </w:r>
      <w:r>
        <w:rPr>
          <w:rFonts w:hint="eastAsia" w:ascii="仿宋_GB2312" w:hAnsi="??" w:eastAsia="仿宋_GB2312"/>
          <w:sz w:val="32"/>
          <w:szCs w:val="32"/>
        </w:rPr>
        <w:t>支出总计各</w:t>
      </w:r>
      <w:r>
        <w:rPr>
          <w:rFonts w:hint="eastAsia" w:ascii="仿宋_GB2312" w:hAnsi="??" w:eastAsia="仿宋_GB2312"/>
          <w:sz w:val="32"/>
          <w:szCs w:val="32"/>
          <w:lang w:val="en-US" w:eastAsia="zh-CN"/>
        </w:rPr>
        <w:t>都</w:t>
      </w:r>
      <w:r>
        <w:rPr>
          <w:rFonts w:hint="eastAsia" w:ascii="仿宋_GB2312" w:hAnsi="??" w:eastAsia="仿宋_GB2312"/>
          <w:sz w:val="32"/>
          <w:szCs w:val="32"/>
        </w:rPr>
        <w:t>增加</w:t>
      </w:r>
      <w:r>
        <w:rPr>
          <w:rFonts w:hint="eastAsia" w:ascii="仿宋_GB2312" w:hAnsi="??" w:eastAsia="仿宋_GB2312"/>
          <w:sz w:val="32"/>
          <w:szCs w:val="32"/>
          <w:lang w:val="en-US" w:eastAsia="zh-CN"/>
        </w:rPr>
        <w:t>26.54</w:t>
      </w:r>
      <w:r>
        <w:rPr>
          <w:rFonts w:hint="eastAsia" w:ascii="仿宋_GB2312" w:hAnsi="??" w:eastAsia="仿宋_GB2312"/>
          <w:sz w:val="32"/>
          <w:szCs w:val="32"/>
        </w:rPr>
        <w:t>万元，</w:t>
      </w:r>
      <w:r>
        <w:rPr>
          <w:rFonts w:hint="eastAsia" w:ascii="仿宋_GB2312" w:hAnsi="??" w:eastAsia="仿宋_GB2312"/>
          <w:sz w:val="32"/>
          <w:szCs w:val="32"/>
          <w:lang w:val="en-US" w:eastAsia="zh-CN"/>
        </w:rPr>
        <w:t>增加14.74</w:t>
      </w:r>
      <w:r>
        <w:rPr>
          <w:rFonts w:ascii="仿宋_GB2312" w:hAnsi="??" w:eastAsia="仿宋_GB2312"/>
          <w:sz w:val="32"/>
          <w:szCs w:val="32"/>
        </w:rPr>
        <w:t>%</w:t>
      </w:r>
      <w:r>
        <w:rPr>
          <w:rFonts w:hint="eastAsia" w:ascii="仿宋_GB2312" w:hAnsi="??" w:eastAsia="仿宋_GB2312"/>
          <w:sz w:val="32"/>
          <w:szCs w:val="32"/>
        </w:rPr>
        <w:t>。主要原因：</w:t>
      </w:r>
      <w:r>
        <w:rPr>
          <w:rFonts w:hint="eastAsia" w:ascii="仿宋_GB2312" w:hAnsi="ˎ̥" w:eastAsia="仿宋_GB2312"/>
          <w:sz w:val="32"/>
          <w:szCs w:val="32"/>
        </w:rPr>
        <w:t>人员工资、社保、公积金支出增加</w:t>
      </w:r>
      <w:r>
        <w:rPr>
          <w:rFonts w:hint="default" w:ascii="仿宋_GB2312" w:hAnsi="ˎ̥" w:eastAsia="仿宋_GB2312" w:cs="仿宋_GB2312"/>
          <w:kern w:val="0"/>
          <w:sz w:val="32"/>
          <w:szCs w:val="32"/>
          <w:shd w:val="clear" w:color="auto" w:fill="FFFFFF"/>
        </w:rPr>
        <w:t xml:space="preserve">。 </w:t>
      </w:r>
    </w:p>
    <w:p w14:paraId="0E6D8A3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rPr>
        <w:t>财政拨款年初结转结余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万元，财政拨款年末结转结余0万元</w:t>
      </w:r>
      <w:r>
        <w:rPr>
          <w:rFonts w:hint="eastAsia" w:ascii="仿宋_GB2312" w:hAnsi="??" w:eastAsia="仿宋_GB2312"/>
          <w:sz w:val="32"/>
          <w:szCs w:val="32"/>
          <w:lang w:eastAsia="zh-CN"/>
        </w:rPr>
        <w:t>，</w:t>
      </w:r>
      <w:r>
        <w:rPr>
          <w:rFonts w:hint="eastAsia" w:ascii="仿宋_GB2312" w:hAnsi="??" w:eastAsia="仿宋_GB2312"/>
          <w:sz w:val="32"/>
          <w:szCs w:val="32"/>
          <w:lang w:val="en-US" w:eastAsia="zh-CN"/>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p>
    <w:p w14:paraId="7149CBBF">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B5A198E">
      <w:pPr>
        <w:ind w:firstLine="640" w:firstLineChars="200"/>
        <w:rPr>
          <w:rFonts w:ascii="楷体" w:hAnsi="楷体" w:eastAsia="楷体" w:cs="楷体"/>
          <w:sz w:val="32"/>
          <w:szCs w:val="32"/>
        </w:rPr>
      </w:pPr>
      <w:bookmarkStart w:id="81" w:name="_Toc13694_WPSOffice_Level2"/>
      <w:bookmarkStart w:id="82" w:name="_Toc17398_WPSOffice_Level2"/>
      <w:bookmarkStart w:id="83" w:name="_Toc19665_WPSOffice_Level2"/>
      <w:bookmarkStart w:id="84" w:name="_Toc23005_WPSOffice_Level2"/>
      <w:bookmarkStart w:id="85" w:name="_Toc9989_WPSOffice_Level2"/>
      <w:bookmarkStart w:id="86" w:name="_Toc21737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1DB09F9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bookmarkStart w:id="87" w:name="_Toc2711_WPSOffice_Level2"/>
      <w:bookmarkStart w:id="88" w:name="_Toc18793_WPSOffice_Level2"/>
      <w:bookmarkStart w:id="89" w:name="_Toc19075_WPSOffice_Level2"/>
      <w:bookmarkStart w:id="90" w:name="_Toc27767_WPSOffice_Level2"/>
      <w:bookmarkStart w:id="91" w:name="_Toc19535_WPSOffice_Level2"/>
      <w:bookmarkStart w:id="92" w:name="_Toc23864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180</w:t>
      </w:r>
      <w:r>
        <w:rPr>
          <w:rFonts w:hint="eastAsia" w:ascii="仿宋_GB2312" w:hAnsi="??" w:eastAsia="仿宋_GB2312"/>
          <w:sz w:val="32"/>
          <w:szCs w:val="32"/>
        </w:rPr>
        <w:t>万元，占本年支出合计的100</w:t>
      </w:r>
      <w:r>
        <w:rPr>
          <w:rFonts w:ascii="仿宋_GB2312" w:hAnsi="??" w:eastAsia="仿宋_GB2312"/>
          <w:sz w:val="32"/>
          <w:szCs w:val="32"/>
        </w:rPr>
        <w:t>%</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年度相比，一般公共预算财政拨款支出增加</w:t>
      </w:r>
      <w:r>
        <w:rPr>
          <w:rFonts w:hint="eastAsia" w:ascii="仿宋_GB2312" w:hAnsi="??" w:eastAsia="仿宋_GB2312"/>
          <w:sz w:val="32"/>
          <w:szCs w:val="32"/>
          <w:lang w:val="en-US" w:eastAsia="zh-CN"/>
        </w:rPr>
        <w:t>26.54</w:t>
      </w:r>
      <w:r>
        <w:rPr>
          <w:rFonts w:hint="eastAsia" w:ascii="仿宋_GB2312" w:hAnsi="??" w:eastAsia="仿宋_GB2312"/>
          <w:sz w:val="32"/>
          <w:szCs w:val="32"/>
        </w:rPr>
        <w:t>万元，增加</w:t>
      </w:r>
      <w:r>
        <w:rPr>
          <w:rFonts w:hint="eastAsia" w:ascii="仿宋_GB2312" w:hAnsi="??" w:eastAsia="仿宋_GB2312"/>
          <w:sz w:val="32"/>
          <w:szCs w:val="32"/>
          <w:lang w:val="en-US" w:eastAsia="zh-CN"/>
        </w:rPr>
        <w:t>14.74</w:t>
      </w:r>
      <w:r>
        <w:rPr>
          <w:rFonts w:ascii="仿宋_GB2312" w:hAnsi="??" w:eastAsia="仿宋_GB2312"/>
          <w:sz w:val="32"/>
          <w:szCs w:val="32"/>
        </w:rPr>
        <w:t>%</w:t>
      </w:r>
      <w:r>
        <w:rPr>
          <w:rFonts w:hint="eastAsia" w:ascii="仿宋_GB2312" w:hAnsi="??" w:eastAsia="仿宋_GB2312"/>
          <w:sz w:val="32"/>
          <w:szCs w:val="32"/>
        </w:rPr>
        <w:t>，主要原因是</w:t>
      </w:r>
      <w:r>
        <w:rPr>
          <w:rFonts w:hint="eastAsia" w:ascii="仿宋_GB2312" w:hAnsi="ˎ̥" w:eastAsia="仿宋_GB2312"/>
          <w:sz w:val="32"/>
          <w:szCs w:val="32"/>
        </w:rPr>
        <w:t>人员工资、社保、公积金支出增加</w:t>
      </w:r>
      <w:r>
        <w:rPr>
          <w:rFonts w:hint="default" w:ascii="仿宋_GB2312" w:hAnsi="ˎ̥" w:eastAsia="仿宋_GB2312" w:cs="仿宋_GB2312"/>
          <w:kern w:val="0"/>
          <w:sz w:val="32"/>
          <w:szCs w:val="32"/>
          <w:shd w:val="clear" w:color="auto" w:fill="FFFFFF"/>
        </w:rPr>
        <w:t xml:space="preserve">。 </w:t>
      </w:r>
    </w:p>
    <w:p w14:paraId="1666C7A1">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642D29B3">
      <w:pPr>
        <w:ind w:firstLine="640" w:firstLineChars="200"/>
        <w:rPr>
          <w:rFonts w:ascii="仿宋_GB2312" w:hAnsi="??" w:eastAsia="仿宋_GB2312"/>
          <w:sz w:val="32"/>
          <w:szCs w:val="32"/>
        </w:rPr>
      </w:pPr>
      <w:bookmarkStart w:id="93" w:name="_Toc21701_WPSOffice_Level2"/>
      <w:bookmarkStart w:id="94" w:name="_Toc25136_WPSOffice_Level2"/>
      <w:bookmarkStart w:id="95" w:name="_Toc9502_WPSOffice_Level2"/>
      <w:bookmarkStart w:id="96" w:name="_Toc22318_WPSOffice_Level2"/>
      <w:bookmarkStart w:id="97" w:name="_Toc29364_WPSOffice_Level2"/>
      <w:bookmarkStart w:id="98" w:name="_Toc15415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180</w:t>
      </w:r>
      <w:r>
        <w:rPr>
          <w:rFonts w:hint="eastAsia" w:ascii="仿宋_GB2312" w:hAnsi="??" w:eastAsia="仿宋_GB2312"/>
          <w:sz w:val="32"/>
          <w:szCs w:val="32"/>
        </w:rPr>
        <w:t>万元，主要用于以下方面：</w:t>
      </w:r>
      <w:r>
        <w:rPr>
          <w:rFonts w:hint="eastAsia" w:ascii="仿宋_GB2312" w:hAnsi="??" w:eastAsia="仿宋_GB2312"/>
          <w:b/>
          <w:sz w:val="32"/>
          <w:szCs w:val="32"/>
        </w:rPr>
        <w:t>教育支出（类）</w:t>
      </w:r>
      <w:r>
        <w:rPr>
          <w:rFonts w:hint="eastAsia" w:ascii="仿宋_GB2312" w:hAnsi="??" w:eastAsia="仿宋_GB2312"/>
          <w:sz w:val="32"/>
          <w:szCs w:val="32"/>
        </w:rPr>
        <w:t>支出</w:t>
      </w:r>
      <w:r>
        <w:rPr>
          <w:rFonts w:hint="eastAsia" w:ascii="仿宋_GB2312" w:hAnsi="??" w:eastAsia="仿宋_GB2312"/>
          <w:sz w:val="32"/>
          <w:szCs w:val="32"/>
          <w:lang w:val="en-US" w:eastAsia="zh-CN"/>
        </w:rPr>
        <w:t>180</w:t>
      </w:r>
      <w:r>
        <w:rPr>
          <w:rFonts w:hint="eastAsia" w:ascii="仿宋_GB2312" w:hAnsi="??" w:eastAsia="仿宋_GB2312"/>
          <w:sz w:val="32"/>
          <w:szCs w:val="32"/>
        </w:rPr>
        <w:t>万元，占</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30B4547B">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5F122EB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180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180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。其中：</w:t>
      </w:r>
    </w:p>
    <w:p w14:paraId="52630C52">
      <w:pPr>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b/>
          <w:sz w:val="32"/>
          <w:szCs w:val="32"/>
        </w:rPr>
        <w:t>教育（类）普通教育（款）小学教育（项）。</w:t>
      </w:r>
    </w:p>
    <w:p w14:paraId="1D1124C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170.15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180</w:t>
      </w:r>
      <w:r>
        <w:rPr>
          <w:rFonts w:hint="eastAsia" w:ascii="仿宋_GB2312" w:hAnsi="??" w:eastAsia="仿宋_GB2312"/>
          <w:sz w:val="32"/>
          <w:szCs w:val="32"/>
        </w:rPr>
        <w:t>元，完成年初预算的</w:t>
      </w:r>
      <w:r>
        <w:rPr>
          <w:rFonts w:hint="eastAsia" w:ascii="仿宋_GB2312" w:hAnsi="??" w:eastAsia="仿宋_GB2312"/>
          <w:sz w:val="32"/>
          <w:szCs w:val="32"/>
          <w:lang w:val="en-US" w:eastAsia="zh-CN"/>
        </w:rPr>
        <w:t>105.79</w:t>
      </w:r>
      <w:r>
        <w:rPr>
          <w:rFonts w:ascii="仿宋_GB2312" w:hAnsi="??" w:eastAsia="仿宋_GB2312"/>
          <w:sz w:val="32"/>
          <w:szCs w:val="32"/>
        </w:rPr>
        <w:t>%</w:t>
      </w:r>
      <w:r>
        <w:rPr>
          <w:rFonts w:hint="eastAsia" w:ascii="仿宋_GB2312" w:hAnsi="??" w:eastAsia="仿宋_GB2312"/>
          <w:sz w:val="32"/>
          <w:szCs w:val="32"/>
        </w:rPr>
        <w:t>。</w:t>
      </w:r>
    </w:p>
    <w:p w14:paraId="7512AE27">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b/>
          <w:sz w:val="32"/>
          <w:szCs w:val="32"/>
        </w:rPr>
        <w:t>社会保障和就业（类）行政事业单位养老支出（款）机关事业单位基本养老保险缴费支出（项）。</w:t>
      </w:r>
    </w:p>
    <w:p w14:paraId="7BB02AE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4AD4ADCA">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b/>
          <w:sz w:val="32"/>
          <w:szCs w:val="32"/>
        </w:rPr>
        <w:t>卫生健康（类）行政事业单位医疗（款）事业单位医疗（项）。</w:t>
      </w:r>
    </w:p>
    <w:p w14:paraId="19AD7C6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6A78EB44">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b/>
          <w:sz w:val="32"/>
          <w:szCs w:val="32"/>
        </w:rPr>
        <w:t>社会保障和就业（类）行政事业单位医疗（款）公务员医疗补助（项）。</w:t>
      </w:r>
    </w:p>
    <w:p w14:paraId="0367054E">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2AC3E1BC">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b/>
          <w:sz w:val="32"/>
          <w:szCs w:val="32"/>
        </w:rPr>
        <w:t>住房保障（类）住房改革支出（款）住房公积金（项）。</w:t>
      </w:r>
    </w:p>
    <w:p w14:paraId="7FF02F2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0</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19144A7D">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07138805">
      <w:pPr>
        <w:tabs>
          <w:tab w:val="center" w:pos="4473"/>
        </w:tabs>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0</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0</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0</w:t>
      </w:r>
      <w:r>
        <w:rPr>
          <w:rFonts w:hint="eastAsia" w:ascii="仿宋_GB2312" w:hAnsi="??" w:eastAsia="仿宋_GB2312"/>
          <w:sz w:val="32"/>
          <w:szCs w:val="32"/>
        </w:rPr>
        <w:t>万元，主要包括：邮电费、工会经费、其他商品和服务支出。</w:t>
      </w:r>
      <w:r>
        <w:rPr>
          <w:rFonts w:hint="eastAsia" w:ascii="仿宋_GB2312" w:hAnsi="??" w:eastAsia="仿宋_GB2312"/>
          <w:sz w:val="32"/>
          <w:szCs w:val="32"/>
          <w:lang w:eastAsia="zh-CN"/>
        </w:rPr>
        <w:t>2023</w:t>
      </w:r>
      <w:r>
        <w:rPr>
          <w:rFonts w:hint="eastAsia" w:ascii="仿宋_GB2312" w:hAnsi="??" w:eastAsia="仿宋_GB2312"/>
          <w:sz w:val="32"/>
          <w:szCs w:val="32"/>
        </w:rPr>
        <w:t>年度财政拨款</w:t>
      </w:r>
      <w:r>
        <w:rPr>
          <w:rFonts w:hint="eastAsia" w:ascii="仿宋_GB2312" w:hAnsi="??" w:eastAsia="仿宋_GB2312"/>
          <w:sz w:val="32"/>
          <w:szCs w:val="32"/>
          <w:lang w:val="en-US" w:eastAsia="zh-CN"/>
        </w:rPr>
        <w:t>项目</w:t>
      </w:r>
      <w:r>
        <w:rPr>
          <w:rFonts w:hint="eastAsia" w:ascii="仿宋_GB2312" w:hAnsi="??" w:eastAsia="仿宋_GB2312"/>
          <w:sz w:val="32"/>
          <w:szCs w:val="32"/>
        </w:rPr>
        <w:t>支出</w:t>
      </w:r>
      <w:r>
        <w:rPr>
          <w:rFonts w:hint="eastAsia" w:ascii="仿宋_GB2312" w:hAnsi="??" w:eastAsia="仿宋_GB2312"/>
          <w:sz w:val="32"/>
          <w:szCs w:val="32"/>
          <w:lang w:val="en-US" w:eastAsia="zh-CN"/>
        </w:rPr>
        <w:t>180</w:t>
      </w:r>
      <w:r>
        <w:rPr>
          <w:rFonts w:hint="eastAsia" w:ascii="仿宋_GB2312" w:hAnsi="??" w:eastAsia="仿宋_GB2312"/>
          <w:sz w:val="32"/>
          <w:szCs w:val="32"/>
        </w:rPr>
        <w:t>万元</w:t>
      </w:r>
      <w:r>
        <w:rPr>
          <w:rFonts w:hint="eastAsia" w:ascii="仿宋_GB2312" w:hAnsi="??" w:eastAsia="仿宋_GB2312"/>
          <w:sz w:val="32"/>
          <w:szCs w:val="32"/>
          <w:lang w:eastAsia="zh-CN"/>
        </w:rPr>
        <w:t>。</w:t>
      </w:r>
    </w:p>
    <w:p w14:paraId="360F0481">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0BB5AB72">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6C0029D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7C626793">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4EBB653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14:paraId="491F0144">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49516B5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13804EF4">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7684F3F3">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5172DD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6271FD57">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10E31F0D">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14:paraId="41DE6A42">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4514D8">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539D79A0">
      <w:pPr>
        <w:ind w:firstLine="627" w:firstLineChars="196"/>
        <w:rPr>
          <w:rFonts w:ascii="仿宋_GB2312" w:hAnsi="??" w:eastAsia="楷体_GB2312"/>
          <w:sz w:val="32"/>
          <w:szCs w:val="32"/>
        </w:rPr>
      </w:pPr>
      <w:r>
        <w:rPr>
          <w:rFonts w:hint="eastAsia" w:ascii="黑体" w:hAnsi="黑体" w:eastAsia="黑体" w:cs="黑体"/>
          <w:bCs/>
          <w:sz w:val="32"/>
          <w:szCs w:val="32"/>
        </w:rPr>
        <w:t>九、一般公共预算财政拨款“三公”经费支出决算情况说明</w:t>
      </w:r>
    </w:p>
    <w:p w14:paraId="0841EF1D">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B9603F0">
      <w:pPr>
        <w:ind w:firstLine="64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，支出决算与预算数持平。</w:t>
      </w:r>
    </w:p>
    <w:p w14:paraId="55B31316">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25DB5FA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63C89358">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76B66C6">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因公出国（境）费支出决算与预算数持平。</w:t>
      </w:r>
    </w:p>
    <w:p w14:paraId="423BA2E2">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2B1504AD">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43A74CD5">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4C7D8AE7">
      <w:pPr>
        <w:ind w:firstLine="640" w:firstLineChars="200"/>
        <w:rPr>
          <w:rFonts w:ascii="仿宋_GB2312" w:hAnsi="??" w:eastAsia="仿宋_GB2312"/>
          <w:sz w:val="32"/>
          <w:szCs w:val="32"/>
        </w:rPr>
      </w:pPr>
      <w:r>
        <w:rPr>
          <w:rFonts w:hint="eastAsia" w:ascii="仿宋_GB2312" w:hAnsi="??" w:eastAsia="仿宋_GB2312"/>
          <w:sz w:val="32"/>
          <w:szCs w:val="32"/>
        </w:rPr>
        <w:t>公务用车购置及运行费支出决算与预算数持平。</w:t>
      </w:r>
    </w:p>
    <w:p w14:paraId="4B51AF1C">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6E5D15D5">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4583524">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F530D5A">
      <w:pPr>
        <w:ind w:firstLine="640" w:firstLineChars="200"/>
        <w:rPr>
          <w:rFonts w:ascii="仿宋_GB2312" w:hAnsi="??" w:eastAsia="仿宋_GB2312"/>
          <w:sz w:val="32"/>
          <w:szCs w:val="32"/>
        </w:rPr>
      </w:pPr>
      <w:r>
        <w:rPr>
          <w:rFonts w:hint="eastAsia" w:ascii="仿宋_GB2312" w:hAnsi="??" w:eastAsia="仿宋_GB2312"/>
          <w:sz w:val="32"/>
          <w:szCs w:val="32"/>
          <w:lang w:val="zh-CN"/>
        </w:rPr>
        <w:t>公务接待费支出决算数与预算数持平。</w:t>
      </w:r>
    </w:p>
    <w:p w14:paraId="6310420B">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14:paraId="5BEEF5B9">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16875B20">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14:paraId="105BAF61">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027AB68D">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35635932">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14:paraId="29D2723A">
      <w:pPr>
        <w:spacing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根据财政预算绩效管理要求，可按照如下格式说明：根据财政预算管理要求，我单位组织对</w:t>
      </w:r>
      <w:r>
        <w:rPr>
          <w:rFonts w:hint="eastAsia" w:ascii="仿宋_GB2312" w:eastAsia="仿宋_GB2312"/>
          <w:sz w:val="32"/>
          <w:szCs w:val="32"/>
          <w:lang w:eastAsia="zh-CN"/>
        </w:rPr>
        <w:t>2023</w:t>
      </w:r>
      <w:r>
        <w:rPr>
          <w:rFonts w:hint="eastAsia" w:ascii="仿宋_GB2312" w:eastAsia="仿宋_GB2312"/>
          <w:sz w:val="32"/>
          <w:szCs w:val="32"/>
        </w:rPr>
        <w:t>年度一般公共预算项目支出全面开展绩效自评。自评项目</w:t>
      </w:r>
      <w:r>
        <w:rPr>
          <w:rFonts w:ascii="仿宋_GB2312" w:eastAsia="仿宋_GB2312"/>
          <w:sz w:val="32"/>
          <w:szCs w:val="32"/>
        </w:rPr>
        <w:t>0</w:t>
      </w:r>
      <w:r>
        <w:rPr>
          <w:rFonts w:hint="eastAsia" w:ascii="仿宋_GB2312" w:eastAsia="仿宋_GB2312"/>
          <w:sz w:val="32"/>
          <w:szCs w:val="32"/>
        </w:rPr>
        <w:t>个，共涉及资金</w:t>
      </w:r>
      <w:r>
        <w:rPr>
          <w:rFonts w:ascii="仿宋_GB2312" w:eastAsia="仿宋_GB2312"/>
          <w:sz w:val="32"/>
          <w:szCs w:val="32"/>
        </w:rPr>
        <w:t>0</w:t>
      </w:r>
      <w:r>
        <w:rPr>
          <w:rFonts w:hint="eastAsia" w:ascii="仿宋_GB2312" w:eastAsia="仿宋_GB2312"/>
          <w:sz w:val="32"/>
          <w:szCs w:val="32"/>
        </w:rPr>
        <w:t>万元，自评覆盖率达到</w:t>
      </w:r>
      <w:r>
        <w:rPr>
          <w:rFonts w:ascii="仿宋_GB2312" w:eastAsia="仿宋_GB2312"/>
          <w:sz w:val="32"/>
          <w:szCs w:val="32"/>
        </w:rPr>
        <w:t>0%</w:t>
      </w:r>
      <w:r>
        <w:rPr>
          <w:rFonts w:hint="eastAsia" w:ascii="仿宋_GB2312" w:eastAsia="仿宋_GB2312"/>
          <w:sz w:val="32"/>
          <w:szCs w:val="32"/>
        </w:rPr>
        <w:t>。</w:t>
      </w:r>
    </w:p>
    <w:p w14:paraId="0F8D6733">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部门决算中项目绩效自评结果。</w:t>
      </w:r>
    </w:p>
    <w:p w14:paraId="04DE6877">
      <w:pPr>
        <w:spacing w:line="578" w:lineRule="exact"/>
        <w:rPr>
          <w:rFonts w:ascii="仿宋_GB2312" w:hAnsi="Times New Roman" w:eastAsia="仿宋_GB2312"/>
          <w:color w:val="FF0000"/>
          <w:sz w:val="32"/>
          <w:szCs w:val="32"/>
          <w:highlight w:val="yellow"/>
        </w:rPr>
      </w:pPr>
      <w:r>
        <w:rPr>
          <w:rFonts w:ascii="楷体" w:hAnsi="楷体" w:eastAsia="楷体" w:cs="楷体"/>
          <w:b/>
          <w:color w:val="000000"/>
          <w:sz w:val="32"/>
          <w:szCs w:val="32"/>
        </w:rPr>
        <w:t xml:space="preserve">        </w:t>
      </w:r>
      <w:r>
        <w:rPr>
          <w:rFonts w:hint="eastAsia" w:ascii="仿宋_GB2312" w:hAnsi="Times New Roman" w:eastAsia="仿宋_GB2312"/>
          <w:sz w:val="32"/>
          <w:szCs w:val="32"/>
        </w:rPr>
        <w:t>无。</w:t>
      </w:r>
      <w:r>
        <w:rPr>
          <w:rFonts w:ascii="楷体" w:hAnsi="楷体" w:eastAsia="楷体" w:cs="楷体"/>
          <w:b/>
          <w:color w:val="000000"/>
          <w:sz w:val="32"/>
          <w:szCs w:val="32"/>
        </w:rPr>
        <w:t xml:space="preserve"> </w:t>
      </w:r>
    </w:p>
    <w:p w14:paraId="56A2A80F">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财政评价项目绩效评价结果。</w:t>
      </w:r>
    </w:p>
    <w:p w14:paraId="493BCF9F">
      <w:pPr>
        <w:spacing w:line="578" w:lineRule="exact"/>
        <w:ind w:firstLine="1280" w:firstLineChars="400"/>
        <w:rPr>
          <w:rFonts w:ascii="仿宋_GB2312" w:hAnsi="Times New Roman" w:eastAsia="仿宋_GB2312"/>
          <w:sz w:val="32"/>
          <w:szCs w:val="32"/>
        </w:rPr>
      </w:pPr>
      <w:r>
        <w:rPr>
          <w:rFonts w:hint="eastAsia" w:ascii="仿宋_GB2312" w:hAnsi="Times New Roman" w:eastAsia="仿宋_GB2312"/>
          <w:sz w:val="32"/>
          <w:szCs w:val="32"/>
        </w:rPr>
        <w:t>无。</w:t>
      </w:r>
    </w:p>
    <w:p w14:paraId="3D97CB3D">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部门评价项目绩效评价结果。</w:t>
      </w:r>
    </w:p>
    <w:p w14:paraId="3A4879C7">
      <w:pPr>
        <w:spacing w:line="578" w:lineRule="exact"/>
        <w:ind w:left="420" w:leftChars="200" w:firstLine="960" w:firstLineChars="300"/>
        <w:rPr>
          <w:rFonts w:ascii="楷体" w:hAnsi="楷体" w:eastAsia="楷体" w:cs="楷体"/>
          <w:b/>
          <w:color w:val="000000"/>
          <w:sz w:val="32"/>
          <w:szCs w:val="32"/>
        </w:rPr>
      </w:pPr>
      <w:r>
        <w:rPr>
          <w:rFonts w:hint="eastAsia" w:ascii="仿宋_GB2312" w:hAnsi="Times New Roman" w:eastAsia="仿宋_GB2312"/>
          <w:sz w:val="32"/>
          <w:szCs w:val="32"/>
        </w:rPr>
        <w:t>无。</w:t>
      </w:r>
    </w:p>
    <w:p w14:paraId="05F7F472">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5197E81B">
      <w:pPr>
        <w:ind w:firstLine="643" w:firstLineChars="200"/>
        <w:rPr>
          <w:rFonts w:ascii="楷体" w:hAnsi="楷体" w:eastAsia="楷体" w:cs="楷体"/>
          <w:b/>
          <w:sz w:val="32"/>
          <w:szCs w:val="32"/>
        </w:rPr>
      </w:pPr>
      <w:bookmarkStart w:id="99" w:name="_Toc32639_WPSOffice_Level2"/>
      <w:bookmarkStart w:id="100" w:name="_Toc23598_WPSOffice_Level2"/>
      <w:bookmarkStart w:id="101" w:name="_Toc5978_WPSOffice_Level2"/>
      <w:bookmarkStart w:id="102" w:name="_Toc15565_WPSOffice_Level2"/>
      <w:bookmarkStart w:id="103" w:name="_Toc18325_WPSOffice_Level2"/>
      <w:bookmarkStart w:id="104" w:name="_Toc15262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2F150955">
      <w:pPr>
        <w:ind w:firstLine="640" w:firstLineChars="200"/>
        <w:rPr>
          <w:rFonts w:ascii="仿宋_GB2312" w:hAnsi="??" w:eastAsia="仿宋_GB2312"/>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过岭幼儿园</w:t>
      </w:r>
      <w:r>
        <w:rPr>
          <w:rFonts w:hint="eastAsia" w:ascii="仿宋_GB2312" w:hAnsi="??" w:eastAsia="仿宋_GB2312"/>
          <w:color w:val="000000"/>
          <w:sz w:val="32"/>
          <w:szCs w:val="32"/>
        </w:rPr>
        <w:t>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14:paraId="158DF640">
      <w:pPr>
        <w:ind w:firstLine="643" w:firstLineChars="200"/>
        <w:rPr>
          <w:rFonts w:ascii="楷体" w:hAnsi="楷体" w:eastAsia="楷体" w:cs="楷体"/>
          <w:b/>
          <w:sz w:val="32"/>
          <w:szCs w:val="32"/>
        </w:rPr>
      </w:pPr>
      <w:bookmarkStart w:id="105" w:name="_Toc13084_WPSOffice_Level2"/>
      <w:bookmarkStart w:id="106" w:name="_Toc3131_WPSOffice_Level2"/>
      <w:bookmarkStart w:id="107" w:name="_Toc23966_WPSOffice_Level2"/>
      <w:bookmarkStart w:id="108" w:name="_Toc30383_WPSOffice_Level2"/>
      <w:bookmarkStart w:id="109" w:name="_Toc25333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3D18DDDA">
      <w:pPr>
        <w:ind w:firstLine="640" w:firstLineChars="200"/>
        <w:rPr>
          <w:rFonts w:ascii="仿宋_GB2312" w:hAnsi="??" w:eastAsia="仿宋_GB2312"/>
          <w:color w:val="000000"/>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过岭幼儿园</w:t>
      </w:r>
      <w:r>
        <w:rPr>
          <w:rFonts w:hint="eastAsia" w:ascii="仿宋_GB2312" w:hAnsi="??" w:eastAsia="仿宋_GB2312"/>
          <w:color w:val="000000"/>
          <w:sz w:val="32"/>
          <w:szCs w:val="32"/>
        </w:rPr>
        <w:t>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14:paraId="68C94107">
      <w:pPr>
        <w:ind w:firstLine="643" w:firstLineChars="200"/>
        <w:rPr>
          <w:rFonts w:ascii="楷体" w:hAnsi="楷体" w:eastAsia="楷体" w:cs="楷体"/>
          <w:b/>
          <w:sz w:val="32"/>
          <w:szCs w:val="32"/>
        </w:rPr>
      </w:pPr>
      <w:bookmarkStart w:id="111" w:name="_Toc527_WPSOffice_Level2"/>
      <w:bookmarkStart w:id="112" w:name="_Toc6016_WPSOffice_Level2"/>
      <w:bookmarkStart w:id="113" w:name="_Toc29584_WPSOffice_Level2"/>
      <w:bookmarkStart w:id="114" w:name="_Toc19989_WPSOffice_Level2"/>
      <w:bookmarkStart w:id="115" w:name="_Toc10902_WPSOffice_Level2"/>
      <w:bookmarkStart w:id="116" w:name="_Toc15129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bookmarkStart w:id="123" w:name="_GoBack"/>
      <w:bookmarkEnd w:id="123"/>
    </w:p>
    <w:p w14:paraId="0637C453">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hint="eastAsia" w:ascii="仿宋_GB2312" w:hAnsi="??" w:eastAsia="仿宋_GB2312"/>
          <w:color w:val="000000"/>
          <w:sz w:val="32"/>
          <w:szCs w:val="32"/>
          <w:lang w:val="en-US" w:eastAsia="zh-CN"/>
        </w:rPr>
        <w:t>536</w:t>
      </w:r>
      <w:r>
        <w:rPr>
          <w:rFonts w:hint="eastAsia" w:ascii="仿宋_GB2312" w:hAnsi="??" w:eastAsia="仿宋_GB2312"/>
          <w:color w:val="000000"/>
          <w:sz w:val="32"/>
          <w:szCs w:val="32"/>
        </w:rPr>
        <w:t>平方米，其中：办公用房</w:t>
      </w:r>
      <w:r>
        <w:rPr>
          <w:rFonts w:ascii="仿宋_GB2312" w:hAnsi="??" w:eastAsia="仿宋_GB2312"/>
          <w:color w:val="000000"/>
          <w:sz w:val="32"/>
          <w:szCs w:val="32"/>
        </w:rPr>
        <w:t>0</w:t>
      </w:r>
      <w:r>
        <w:rPr>
          <w:rFonts w:hint="eastAsia" w:ascii="仿宋_GB2312" w:hAnsi="??" w:eastAsia="仿宋_GB2312"/>
          <w:color w:val="000000"/>
          <w:sz w:val="32"/>
          <w:szCs w:val="32"/>
        </w:rPr>
        <w:t>平方米，业务用房</w:t>
      </w:r>
      <w:r>
        <w:rPr>
          <w:rFonts w:hint="eastAsia" w:ascii="仿宋_GB2312" w:hAnsi="??" w:eastAsia="仿宋_GB2312"/>
          <w:color w:val="000000"/>
          <w:sz w:val="32"/>
          <w:szCs w:val="32"/>
          <w:lang w:val="en-US" w:eastAsia="zh-CN"/>
        </w:rPr>
        <w:t>536</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14:paraId="20D55B7A">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14:paraId="3BE8A42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52389EE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112618DC">
      <w:pPr>
        <w:jc w:val="center"/>
        <w:rPr>
          <w:rFonts w:ascii="黑体" w:hAnsi="??" w:eastAsia="黑体"/>
          <w:sz w:val="32"/>
          <w:szCs w:val="32"/>
        </w:rPr>
      </w:pPr>
      <w:bookmarkStart w:id="117" w:name="_Toc8808_WPSOffice_Level1"/>
      <w:bookmarkStart w:id="118" w:name="_Toc11039_WPSOffice_Level1"/>
      <w:bookmarkStart w:id="119" w:name="_Toc4398_WPSOffice_Level1"/>
      <w:bookmarkStart w:id="120" w:name="_Toc17580_WPSOffice_Level1"/>
      <w:bookmarkStart w:id="121" w:name="_Toc15425_WPSOffice_Level1"/>
      <w:bookmarkStart w:id="122" w:name="_Toc8874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14:paraId="0E57F282">
      <w:pPr>
        <w:jc w:val="center"/>
        <w:rPr>
          <w:rFonts w:ascii="黑体" w:hAnsi="??" w:eastAsia="黑体"/>
          <w:sz w:val="32"/>
          <w:szCs w:val="32"/>
        </w:rPr>
      </w:pPr>
    </w:p>
    <w:p w14:paraId="55B67E95">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14:paraId="6604A673">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14:paraId="1A65E786">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14:paraId="28A41F49">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14:paraId="0F6614DC">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245DA959">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14:paraId="47674C11">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14:paraId="4CB74E3F">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14:paraId="645949E1">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14:paraId="0D6B9954">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14:paraId="6CF441C9">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14:paraId="710A99A7">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00E86386">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8239AB">
      <w:pPr>
        <w:ind w:firstLine="640" w:firstLineChars="200"/>
        <w:rPr>
          <w:rFonts w:ascii="仿宋_GB2312" w:hAnsi="??" w:eastAsia="仿宋_GB2312"/>
          <w:sz w:val="32"/>
          <w:szCs w:val="32"/>
        </w:rPr>
      </w:pPr>
    </w:p>
    <w:p w14:paraId="40C78A10">
      <w:pPr>
        <w:ind w:firstLine="640" w:firstLineChars="200"/>
        <w:rPr>
          <w:rFonts w:ascii="仿宋_GB2312" w:hAnsi="??" w:eastAsia="仿宋_GB2312"/>
          <w:sz w:val="32"/>
          <w:szCs w:val="32"/>
        </w:rPr>
      </w:pPr>
    </w:p>
    <w:p w14:paraId="22D0C797">
      <w:pPr>
        <w:rPr>
          <w:rFonts w:ascii="仿宋_GB2312" w:hAnsi="??"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swiss"/>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6C3FF">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14</w:t>
    </w:r>
    <w:r>
      <w:rPr>
        <w:rStyle w:val="6"/>
      </w:rPr>
      <w:fldChar w:fldCharType="end"/>
    </w:r>
  </w:p>
  <w:p w14:paraId="6DBC715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21180">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71C937B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3A4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8F84">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89FA4">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330CA">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cs="Times New Roman"/>
      </w:rPr>
    </w:lvl>
  </w:abstractNum>
  <w:abstractNum w:abstractNumId="1">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NGYwMTg3ZTQ0MDc4OTAxNzUwYjdkNzAwY2NiNTYifQ=="/>
  </w:docVars>
  <w:rsids>
    <w:rsidRoot w:val="00D32ACE"/>
    <w:rsid w:val="000739C6"/>
    <w:rsid w:val="000819F9"/>
    <w:rsid w:val="000C0FC3"/>
    <w:rsid w:val="000C3289"/>
    <w:rsid w:val="00151A55"/>
    <w:rsid w:val="001619E4"/>
    <w:rsid w:val="00165BA4"/>
    <w:rsid w:val="001A7613"/>
    <w:rsid w:val="001B54A0"/>
    <w:rsid w:val="00207A79"/>
    <w:rsid w:val="002102AF"/>
    <w:rsid w:val="002131EE"/>
    <w:rsid w:val="00240B5C"/>
    <w:rsid w:val="00243D65"/>
    <w:rsid w:val="00282A0B"/>
    <w:rsid w:val="002F2B57"/>
    <w:rsid w:val="00345463"/>
    <w:rsid w:val="003528F1"/>
    <w:rsid w:val="003874E2"/>
    <w:rsid w:val="003F0D1A"/>
    <w:rsid w:val="00447F7A"/>
    <w:rsid w:val="00451AE4"/>
    <w:rsid w:val="00457F19"/>
    <w:rsid w:val="0047528A"/>
    <w:rsid w:val="004923AD"/>
    <w:rsid w:val="004A5298"/>
    <w:rsid w:val="004B343D"/>
    <w:rsid w:val="004D0B4C"/>
    <w:rsid w:val="00510FB7"/>
    <w:rsid w:val="00527033"/>
    <w:rsid w:val="00574D29"/>
    <w:rsid w:val="005E4604"/>
    <w:rsid w:val="005E4790"/>
    <w:rsid w:val="005E5712"/>
    <w:rsid w:val="00617E25"/>
    <w:rsid w:val="00632931"/>
    <w:rsid w:val="00650E0E"/>
    <w:rsid w:val="00662604"/>
    <w:rsid w:val="006C0F6A"/>
    <w:rsid w:val="006E30C2"/>
    <w:rsid w:val="006F2EC3"/>
    <w:rsid w:val="00780C83"/>
    <w:rsid w:val="007876F5"/>
    <w:rsid w:val="00877D96"/>
    <w:rsid w:val="00880C2C"/>
    <w:rsid w:val="008D3791"/>
    <w:rsid w:val="00914ABF"/>
    <w:rsid w:val="00930AC0"/>
    <w:rsid w:val="00943DE7"/>
    <w:rsid w:val="00954A09"/>
    <w:rsid w:val="00996154"/>
    <w:rsid w:val="009C68E4"/>
    <w:rsid w:val="009E004E"/>
    <w:rsid w:val="009E6620"/>
    <w:rsid w:val="009F2DFE"/>
    <w:rsid w:val="00A062C9"/>
    <w:rsid w:val="00A133CD"/>
    <w:rsid w:val="00A20588"/>
    <w:rsid w:val="00A54072"/>
    <w:rsid w:val="00A76998"/>
    <w:rsid w:val="00A92FC5"/>
    <w:rsid w:val="00AF1C32"/>
    <w:rsid w:val="00B46B89"/>
    <w:rsid w:val="00B512BF"/>
    <w:rsid w:val="00C01B66"/>
    <w:rsid w:val="00C3564D"/>
    <w:rsid w:val="00CB32F6"/>
    <w:rsid w:val="00CD5803"/>
    <w:rsid w:val="00CF76E7"/>
    <w:rsid w:val="00D16F7B"/>
    <w:rsid w:val="00D30F7F"/>
    <w:rsid w:val="00D32ACE"/>
    <w:rsid w:val="00DB6ECB"/>
    <w:rsid w:val="00DD0AC5"/>
    <w:rsid w:val="00DD774D"/>
    <w:rsid w:val="00E23916"/>
    <w:rsid w:val="00E248DD"/>
    <w:rsid w:val="00EC1A2B"/>
    <w:rsid w:val="00F054C6"/>
    <w:rsid w:val="00F11B99"/>
    <w:rsid w:val="00F12AB2"/>
    <w:rsid w:val="00F93E07"/>
    <w:rsid w:val="00FC402A"/>
    <w:rsid w:val="05E6585C"/>
    <w:rsid w:val="09C70460"/>
    <w:rsid w:val="0A31526B"/>
    <w:rsid w:val="0A81714E"/>
    <w:rsid w:val="0C6F2338"/>
    <w:rsid w:val="0E3D3947"/>
    <w:rsid w:val="118C4859"/>
    <w:rsid w:val="14D918C2"/>
    <w:rsid w:val="15630CCB"/>
    <w:rsid w:val="1635329E"/>
    <w:rsid w:val="17124C72"/>
    <w:rsid w:val="1AD7633A"/>
    <w:rsid w:val="1B084650"/>
    <w:rsid w:val="1E3E4F0A"/>
    <w:rsid w:val="1E6C3F37"/>
    <w:rsid w:val="200046C9"/>
    <w:rsid w:val="20E36D41"/>
    <w:rsid w:val="210461B3"/>
    <w:rsid w:val="233F5401"/>
    <w:rsid w:val="242B4E3C"/>
    <w:rsid w:val="2562714D"/>
    <w:rsid w:val="25BA09E5"/>
    <w:rsid w:val="27E16118"/>
    <w:rsid w:val="285C0F30"/>
    <w:rsid w:val="28EB477E"/>
    <w:rsid w:val="29877B56"/>
    <w:rsid w:val="2ABC57BF"/>
    <w:rsid w:val="2F7F4E2C"/>
    <w:rsid w:val="319F04F9"/>
    <w:rsid w:val="32D570E6"/>
    <w:rsid w:val="34EA2D09"/>
    <w:rsid w:val="34EC15C3"/>
    <w:rsid w:val="357021CB"/>
    <w:rsid w:val="39AD76D2"/>
    <w:rsid w:val="3A5B0696"/>
    <w:rsid w:val="3A981EFF"/>
    <w:rsid w:val="3CCB0481"/>
    <w:rsid w:val="3D65637C"/>
    <w:rsid w:val="3D9D05CF"/>
    <w:rsid w:val="40C24C97"/>
    <w:rsid w:val="41342E7E"/>
    <w:rsid w:val="41C108CC"/>
    <w:rsid w:val="42982C27"/>
    <w:rsid w:val="43725C55"/>
    <w:rsid w:val="4439397F"/>
    <w:rsid w:val="446D152F"/>
    <w:rsid w:val="44E81F31"/>
    <w:rsid w:val="44F54D66"/>
    <w:rsid w:val="4705491E"/>
    <w:rsid w:val="47870662"/>
    <w:rsid w:val="49255820"/>
    <w:rsid w:val="492B547F"/>
    <w:rsid w:val="4C920D4B"/>
    <w:rsid w:val="50636B18"/>
    <w:rsid w:val="516A769F"/>
    <w:rsid w:val="54161FE0"/>
    <w:rsid w:val="55B32FF6"/>
    <w:rsid w:val="55CE46B5"/>
    <w:rsid w:val="55F5398B"/>
    <w:rsid w:val="55F8457D"/>
    <w:rsid w:val="58067E17"/>
    <w:rsid w:val="58692CBA"/>
    <w:rsid w:val="5875165E"/>
    <w:rsid w:val="58BE5206"/>
    <w:rsid w:val="59EC62F0"/>
    <w:rsid w:val="5CCB4073"/>
    <w:rsid w:val="5D200291"/>
    <w:rsid w:val="5DE34B5D"/>
    <w:rsid w:val="5ECD1A47"/>
    <w:rsid w:val="6730746C"/>
    <w:rsid w:val="6A170CCD"/>
    <w:rsid w:val="6B3106B1"/>
    <w:rsid w:val="6B675C3C"/>
    <w:rsid w:val="6C442158"/>
    <w:rsid w:val="6E340F38"/>
    <w:rsid w:val="70382752"/>
    <w:rsid w:val="70AA07D0"/>
    <w:rsid w:val="719D784E"/>
    <w:rsid w:val="720B1B57"/>
    <w:rsid w:val="73E82966"/>
    <w:rsid w:val="750254F7"/>
    <w:rsid w:val="753F4E19"/>
    <w:rsid w:val="754D5B45"/>
    <w:rsid w:val="75EF7DDE"/>
    <w:rsid w:val="76347DE5"/>
    <w:rsid w:val="777C3B73"/>
    <w:rsid w:val="780C50C4"/>
    <w:rsid w:val="79246B28"/>
    <w:rsid w:val="79A0064C"/>
    <w:rsid w:val="7AD503D1"/>
    <w:rsid w:val="7B7C3913"/>
    <w:rsid w:val="7CB17BE3"/>
    <w:rsid w:val="7D2B6975"/>
    <w:rsid w:val="7E8653EE"/>
    <w:rsid w:val="7F7B1C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qFormat/>
    <w:locked/>
    <w:uiPriority w:val="99"/>
    <w:rPr>
      <w:rFonts w:cs="Times New Roman"/>
      <w:sz w:val="18"/>
      <w:szCs w:val="18"/>
    </w:rPr>
  </w:style>
  <w:style w:type="character" w:customStyle="1" w:styleId="8">
    <w:name w:val="页眉 Char"/>
    <w:basedOn w:val="5"/>
    <w:link w:val="3"/>
    <w:qFormat/>
    <w:locked/>
    <w:uiPriority w:val="99"/>
    <w:rPr>
      <w:rFonts w:cs="Times New Roman"/>
      <w:sz w:val="18"/>
      <w:szCs w:val="18"/>
    </w:rPr>
  </w:style>
  <w:style w:type="paragraph" w:customStyle="1" w:styleId="9">
    <w:name w:val="List Paragraph1"/>
    <w:basedOn w:val="1"/>
    <w:qFormat/>
    <w:uiPriority w:val="99"/>
    <w:pPr>
      <w:ind w:firstLine="420" w:firstLineChars="200"/>
    </w:pPr>
  </w:style>
  <w:style w:type="paragraph" w:customStyle="1" w:styleId="10">
    <w:name w:val="列出段落1"/>
    <w:basedOn w:val="1"/>
    <w:qFormat/>
    <w:uiPriority w:val="99"/>
    <w:pPr>
      <w:ind w:firstLine="420" w:firstLineChars="200"/>
    </w:pPr>
    <w:rPr>
      <w:rFonts w:cs="黑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5015</Words>
  <Characters>5399</Characters>
  <Lines>50</Lines>
  <Paragraphs>14</Paragraphs>
  <TotalTime>21</TotalTime>
  <ScaleCrop>false</ScaleCrop>
  <LinksUpToDate>false</LinksUpToDate>
  <CharactersWithSpaces>5509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2022-11-22T09:32:00Z</dcterms:created>
  <dc:creator>asus</dc:creator>
  <cp:lastModifiedBy>高歌</cp:lastModifiedBy>
  <dcterms:modified xsi:type="dcterms:W3CDTF">2024-10-16T02:10:50Z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9B3564031379449B969C57553B3EA75C</vt:lpwstr>
  </property>
</Properties>
</file>