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40" w:firstLineChars="100"/>
        <w:jc w:val="center"/>
        <w:rPr>
          <w:rFonts w:hint="default"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t xml:space="preserve"> </w:t>
      </w:r>
      <w:r>
        <w:rPr>
          <w:rFonts w:hint="eastAsia" w:ascii="黑体" w:hAnsi="黑体" w:eastAsia="黑体" w:cs="黑体"/>
          <w:color w:val="0D0D0D" w:themeColor="text1" w:themeTint="F2"/>
          <w:sz w:val="44"/>
          <w:szCs w:val="44"/>
          <w:u w:color="000000" w:themeColor="text1"/>
          <w:lang w:eastAsia="zh-CN"/>
          <w14:textFill>
            <w14:solidFill>
              <w14:schemeClr w14:val="tx1">
                <w14:lumMod w14:val="95000"/>
                <w14:lumOff w14:val="5000"/>
              </w14:schemeClr>
            </w14:solidFill>
          </w14:textFill>
        </w:rPr>
        <w:t>三亚市天涯区</w:t>
      </w:r>
      <w:r>
        <w:rPr>
          <w:rFonts w:hint="eastAsia" w:ascii="黑体" w:hAnsi="黑体" w:eastAsia="黑体" w:cs="黑体"/>
          <w:color w:val="auto"/>
          <w:sz w:val="44"/>
          <w:szCs w:val="44"/>
          <w:u w:val="none" w:color="auto"/>
          <w:lang w:val="en-US" w:eastAsia="zh-CN"/>
        </w:rPr>
        <w:t>第三幼儿园</w:t>
      </w:r>
      <w:r>
        <w:rPr>
          <w:rFonts w:hint="eastAsia" w:ascii="黑体" w:hAnsi="黑体" w:eastAsia="黑体" w:cs="黑体"/>
          <w:color w:val="0D0D0D" w:themeColor="text1" w:themeTint="F2"/>
          <w:sz w:val="44"/>
          <w:szCs w:val="44"/>
          <w:u w:color="000000" w:themeColor="text1"/>
          <w:lang w:eastAsia="zh-CN"/>
          <w14:textFill>
            <w14:solidFill>
              <w14:schemeClr w14:val="tx1">
                <w14:lumMod w14:val="95000"/>
                <w14:lumOff w14:val="5000"/>
              </w14:schemeClr>
            </w14:solidFill>
          </w14:textFill>
        </w:rPr>
        <w:t>202</w:t>
      </w:r>
      <w:r>
        <w:rPr>
          <w:rFonts w:hint="eastAsia"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t>3</w:t>
      </w:r>
      <w:r>
        <w:rPr>
          <w:rFonts w:hint="eastAsia" w:ascii="黑体" w:hAnsi="黑体" w:eastAsia="黑体" w:cs="黑体"/>
          <w:color w:val="0D0D0D" w:themeColor="text1" w:themeTint="F2"/>
          <w:sz w:val="44"/>
          <w:szCs w:val="44"/>
          <w:u w:color="000000" w:themeColor="text1"/>
          <w:lang w:eastAsia="zh-CN"/>
          <w14:textFill>
            <w14:solidFill>
              <w14:schemeClr w14:val="tx1">
                <w14:lumMod w14:val="95000"/>
                <w14:lumOff w14:val="5000"/>
              </w14:schemeClr>
            </w14:solidFill>
          </w14:textFill>
        </w:rPr>
        <w:t>年度</w:t>
      </w:r>
      <w:r>
        <w:rPr>
          <w:rFonts w:hint="eastAsia"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t>部门</w:t>
      </w:r>
      <w:r>
        <w:rPr>
          <w:rFonts w:hint="eastAsia" w:ascii="黑体" w:hAnsi="黑体" w:eastAsia="黑体" w:cs="黑体"/>
          <w:color w:val="0D0D0D" w:themeColor="text1" w:themeTint="F2"/>
          <w:sz w:val="44"/>
          <w:szCs w:val="44"/>
          <w:u w:color="000000" w:themeColor="text1"/>
          <w:lang w:eastAsia="zh-CN"/>
          <w14:textFill>
            <w14:solidFill>
              <w14:schemeClr w14:val="tx1">
                <w14:lumMod w14:val="95000"/>
                <w14:lumOff w14:val="5000"/>
              </w14:schemeClr>
            </w14:solidFill>
          </w14:textFill>
        </w:rPr>
        <w:t>决算</w:t>
      </w:r>
      <w:r>
        <w:rPr>
          <w:rFonts w:hint="eastAsia"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t>公开说明</w:t>
      </w:r>
    </w:p>
    <w:p>
      <w:pPr>
        <w:jc w:val="center"/>
        <w:rPr>
          <w:rFonts w:hint="eastAsia" w:ascii="黑体" w:hAnsi="ˎ̥" w:eastAsia="黑体"/>
          <w:b/>
          <w:color w:val="0D0D0D" w:themeColor="text1" w:themeTint="F2"/>
          <w:sz w:val="32"/>
          <w:szCs w:val="32"/>
          <w:u w:color="000000" w:themeColor="text1"/>
          <w14:textFill>
            <w14:solidFill>
              <w14:schemeClr w14:val="tx1">
                <w14:lumMod w14:val="95000"/>
                <w14:lumOff w14:val="5000"/>
              </w14:schemeClr>
            </w14:solidFill>
          </w14:textFill>
        </w:rPr>
      </w:pPr>
    </w:p>
    <w:p>
      <w:pPr>
        <w:spacing w:before="0" w:beforeLines="0" w:after="0" w:afterLines="0" w:line="240" w:lineRule="auto"/>
        <w:ind w:left="0" w:leftChars="0" w:right="0" w:rightChars="0" w:firstLine="0" w:firstLineChars="0"/>
        <w:jc w:val="center"/>
        <w:rPr>
          <w:rFonts w:hint="eastAsia" w:ascii="黑体" w:hAnsi="黑体" w:eastAsia="黑体" w:cs="黑体"/>
          <w:color w:val="0D0D0D" w:themeColor="text1" w:themeTint="F2"/>
          <w:sz w:val="44"/>
          <w:szCs w:val="44"/>
          <w:u w:color="000000" w:themeColor="text1"/>
          <w14:textFill>
            <w14:solidFill>
              <w14:schemeClr w14:val="tx1">
                <w14:lumMod w14:val="95000"/>
                <w14:lumOff w14:val="5000"/>
              </w14:schemeClr>
            </w14:solidFill>
          </w14:textFill>
        </w:rPr>
      </w:pPr>
      <w:bookmarkStart w:id="0" w:name="_Toc11440_WPSOffice_Type2"/>
      <w:r>
        <w:rPr>
          <w:rFonts w:hint="eastAsia" w:ascii="黑体" w:hAnsi="黑体" w:eastAsia="黑体" w:cs="黑体"/>
          <w:color w:val="0D0D0D" w:themeColor="text1" w:themeTint="F2"/>
          <w:sz w:val="44"/>
          <w:szCs w:val="44"/>
          <w:u w:color="000000" w:themeColor="text1"/>
          <w14:textFill>
            <w14:solidFill>
              <w14:schemeClr w14:val="tx1">
                <w14:lumMod w14:val="95000"/>
                <w14:lumOff w14:val="5000"/>
              </w14:schemeClr>
            </w14:solidFill>
          </w14:textFill>
        </w:rPr>
        <w:t>目</w:t>
      </w:r>
      <w:r>
        <w:rPr>
          <w:rFonts w:hint="eastAsia" w:ascii="黑体" w:hAnsi="黑体" w:eastAsia="黑体" w:cs="黑体"/>
          <w:color w:val="0D0D0D" w:themeColor="text1" w:themeTint="F2"/>
          <w:sz w:val="44"/>
          <w:szCs w:val="44"/>
          <w:u w:color="000000" w:themeColor="text1"/>
          <w:lang w:val="en-US" w:eastAsia="zh-CN"/>
          <w14:textFill>
            <w14:solidFill>
              <w14:schemeClr w14:val="tx1">
                <w14:lumMod w14:val="95000"/>
                <w14:lumOff w14:val="5000"/>
              </w14:schemeClr>
            </w14:solidFill>
          </w14:textFill>
        </w:rPr>
        <w:t xml:space="preserve">  </w:t>
      </w:r>
      <w:r>
        <w:rPr>
          <w:rFonts w:hint="eastAsia" w:ascii="黑体" w:hAnsi="黑体" w:eastAsia="黑体" w:cs="黑体"/>
          <w:color w:val="0D0D0D" w:themeColor="text1" w:themeTint="F2"/>
          <w:sz w:val="44"/>
          <w:szCs w:val="44"/>
          <w:u w:color="000000" w:themeColor="text1"/>
          <w14:textFill>
            <w14:solidFill>
              <w14:schemeClr w14:val="tx1">
                <w14:lumMod w14:val="95000"/>
                <w14:lumOff w14:val="5000"/>
              </w14:schemeClr>
            </w14:solidFill>
          </w14:textFill>
        </w:rPr>
        <w:t>录</w:t>
      </w:r>
    </w:p>
    <w:p>
      <w:pPr>
        <w:pStyle w:val="6"/>
        <w:tabs>
          <w:tab w:val="right" w:leader="dot" w:pos="8306"/>
        </w:tabs>
        <w:rPr>
          <w:b w:val="0"/>
          <w:bCs w:val="0"/>
          <w:color w:val="0D0D0D" w:themeColor="text1" w:themeTint="F2"/>
          <w:sz w:val="32"/>
          <w:szCs w:val="32"/>
          <w:u w:color="000000" w:themeColor="text1"/>
          <w14:textFill>
            <w14:solidFill>
              <w14:schemeClr w14:val="tx1">
                <w14:lumMod w14:val="95000"/>
                <w14:lumOff w14:val="5000"/>
              </w14:schemeClr>
            </w14:solidFill>
          </w14:textFill>
        </w:rPr>
      </w:pP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begin"/>
      </w:r>
      <w:r>
        <w:rPr>
          <w:b w:val="0"/>
          <w:bCs w:val="0"/>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_Toc1704_WPSOffice_Level1 </w:instrTex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第一部分</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三亚市天涯区第三幼儿园</w:t>
      </w:r>
      <w:r>
        <w:rPr>
          <w:rFonts w:hint="eastAsia" w:ascii="黑体" w:hAnsi="ˎ̥" w:eastAsia="黑体"/>
          <w:b w:val="0"/>
          <w:bCs w:val="0"/>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单位概况</w:t>
      </w:r>
      <w:r>
        <w:rPr>
          <w:b w:val="0"/>
          <w:bCs w:val="0"/>
          <w:color w:val="0D0D0D" w:themeColor="text1" w:themeTint="F2"/>
          <w:sz w:val="32"/>
          <w:szCs w:val="32"/>
          <w:u w:color="000000" w:themeColor="text1"/>
          <w14:textFill>
            <w14:solidFill>
              <w14:schemeClr w14:val="tx1">
                <w14:lumMod w14:val="95000"/>
                <w14:lumOff w14:val="5000"/>
              </w14:schemeClr>
            </w14:solidFill>
          </w14:textFill>
        </w:rPr>
        <w:tab/>
      </w:r>
      <w:r>
        <w:rPr>
          <w:rFonts w:hint="eastAsia"/>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_Toc20274_WPSOffice_Level2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部门职责</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_Toc4833_WPSOffice_Level2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机构设置</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6"/>
        <w:tabs>
          <w:tab w:val="right" w:leader="dot" w:pos="8306"/>
        </w:tabs>
        <w:rPr>
          <w:b w:val="0"/>
          <w:bCs w:val="0"/>
          <w:color w:val="0D0D0D" w:themeColor="text1" w:themeTint="F2"/>
          <w:sz w:val="32"/>
          <w:szCs w:val="32"/>
          <w:u w:color="000000" w:themeColor="text1"/>
          <w14:textFill>
            <w14:solidFill>
              <w14:schemeClr w14:val="tx1">
                <w14:lumMod w14:val="95000"/>
                <w14:lumOff w14:val="5000"/>
              </w14:schemeClr>
            </w14:solidFill>
          </w14:textFill>
        </w:rPr>
      </w:pP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begin"/>
      </w:r>
      <w:r>
        <w:rPr>
          <w:b w:val="0"/>
          <w:bCs w:val="0"/>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_Toc28253_WPSOffice_Level1 </w:instrTex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第二部分</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三亚市</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天涯区第三</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幼儿园</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部门</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决算</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公开表</w:t>
      </w:r>
      <w:r>
        <w:rPr>
          <w:b w:val="0"/>
          <w:bCs w:val="0"/>
          <w:color w:val="0D0D0D" w:themeColor="text1" w:themeTint="F2"/>
          <w:sz w:val="32"/>
          <w:szCs w:val="32"/>
          <w:u w:color="000000" w:themeColor="text1"/>
          <w14:textFill>
            <w14:solidFill>
              <w14:schemeClr w14:val="tx1">
                <w14:lumMod w14:val="95000"/>
                <w14:lumOff w14:val="5000"/>
              </w14:schemeClr>
            </w14:solidFill>
          </w14:textFill>
        </w:rPr>
        <w:tab/>
      </w:r>
      <w:r>
        <w:rPr>
          <w:rFonts w:hint="eastAsia"/>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6"/>
        <w:tabs>
          <w:tab w:val="right" w:leader="dot" w:pos="8306"/>
        </w:tabs>
        <w:rPr>
          <w:b w:val="0"/>
          <w:bCs w:val="0"/>
          <w:color w:val="0D0D0D" w:themeColor="text1" w:themeTint="F2"/>
          <w:sz w:val="32"/>
          <w:szCs w:val="32"/>
          <w:u w:color="000000" w:themeColor="text1"/>
          <w14:textFill>
            <w14:solidFill>
              <w14:schemeClr w14:val="tx1">
                <w14:lumMod w14:val="95000"/>
                <w14:lumOff w14:val="5000"/>
              </w14:schemeClr>
            </w14:solidFill>
          </w14:textFill>
        </w:rPr>
      </w:pP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begin"/>
      </w:r>
      <w:r>
        <w:rPr>
          <w:b w:val="0"/>
          <w:bCs w:val="0"/>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_Toc27590_WPSOffice_Level1 </w:instrTex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黑体" w:hAnsi="黑体" w:eastAsia="黑体" w:cs="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第三部分</w:t>
      </w:r>
      <w:r>
        <w:rPr>
          <w:rFonts w:hint="eastAsia"/>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三亚市</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天涯区第三</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幼儿园</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部门</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决算情况说明</w:t>
      </w:r>
      <w:r>
        <w:rPr>
          <w:b w:val="0"/>
          <w:bCs w:val="0"/>
          <w:color w:val="0D0D0D" w:themeColor="text1" w:themeTint="F2"/>
          <w:sz w:val="32"/>
          <w:szCs w:val="32"/>
          <w:u w:color="000000" w:themeColor="text1"/>
          <w14:textFill>
            <w14:solidFill>
              <w14:schemeClr w14:val="tx1">
                <w14:lumMod w14:val="95000"/>
                <w14:lumOff w14:val="5000"/>
              </w14:schemeClr>
            </w14:solidFill>
          </w14:textFill>
        </w:rPr>
        <w:tab/>
      </w:r>
      <w:r>
        <w:rPr>
          <w:rFonts w:hint="eastAsia"/>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4</w: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_Toc21737_WPSOffice_Level2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收入支出决算总体情况说明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4</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收入决算情况说明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4</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仿宋" w:hAnsi="仿宋" w:eastAsia="仿宋" w:cs="仿宋"/>
          <w:b w:val="0"/>
          <w:bCs/>
          <w:color w:val="0D0D0D" w:themeColor="text1" w:themeTint="F2"/>
          <w:sz w:val="32"/>
          <w:szCs w:val="32"/>
          <w:u w:color="000000" w:themeColor="text1"/>
          <w:lang w:val="en-US" w:eastAsia="zh-CN"/>
          <w14:textFill>
            <w14:solidFill>
              <w14:schemeClr w14:val="tx1">
                <w14:lumMod w14:val="95000"/>
                <w14:lumOff w14:val="5000"/>
              </w14:schemeClr>
            </w14:solidFill>
          </w14:textFill>
        </w:rPr>
        <w:t>支出</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5</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val="en-US" w:eastAsia="zh-CN"/>
          <w14:textFill>
            <w14:solidFill>
              <w14:schemeClr w14:val="tx1">
                <w14:lumMod w14:val="95000"/>
                <w14:lumOff w14:val="5000"/>
              </w14:schemeClr>
            </w14:solidFill>
          </w14:textFill>
        </w:rPr>
        <w:t>四</w:t>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财政拨款收入支出决算情况说明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5</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五</w:t>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一般公共预算财政拨款支出决算情况说明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5</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kern w:val="0"/>
          <w:sz w:val="32"/>
          <w:szCs w:val="32"/>
          <w:u w:color="000000" w:themeColor="text1"/>
          <w14:textFill>
            <w14:solidFill>
              <w14:schemeClr w14:val="tx1">
                <w14:lumMod w14:val="95000"/>
                <w14:lumOff w14:val="5000"/>
              </w14:schemeClr>
            </w14:solidFill>
          </w14:textFill>
        </w:rPr>
        <w:t>六</w:t>
      </w:r>
      <w:r>
        <w:rPr>
          <w:rFonts w:hint="eastAsia" w:ascii="仿宋" w:hAnsi="仿宋" w:eastAsia="仿宋" w:cs="仿宋"/>
          <w:b w:val="0"/>
          <w:bCs/>
          <w:color w:val="0D0D0D" w:themeColor="text1" w:themeTint="F2"/>
          <w:kern w:val="0"/>
          <w:sz w:val="32"/>
          <w:szCs w:val="32"/>
          <w:u w:color="000000" w:themeColor="text1"/>
          <w:lang w:eastAsia="zh-CN"/>
          <w14:textFill>
            <w14:solidFill>
              <w14:schemeClr w14:val="tx1">
                <w14:lumMod w14:val="95000"/>
                <w14:lumOff w14:val="5000"/>
              </w14:schemeClr>
            </w14:solidFill>
          </w14:textFill>
        </w:rPr>
        <w:t>、</w:t>
      </w:r>
      <w:r>
        <w:rPr>
          <w:rFonts w:hint="eastAsia" w:ascii="仿宋" w:hAnsi="仿宋" w:eastAsia="仿宋" w:cs="仿宋"/>
          <w:b w:val="0"/>
          <w:bCs/>
          <w:color w:val="0D0D0D" w:themeColor="text1" w:themeTint="F2"/>
          <w:kern w:val="0"/>
          <w:sz w:val="32"/>
          <w:szCs w:val="32"/>
          <w:u w:color="000000" w:themeColor="text1"/>
          <w14:textFill>
            <w14:solidFill>
              <w14:schemeClr w14:val="tx1">
                <w14:lumMod w14:val="95000"/>
                <w14:lumOff w14:val="5000"/>
              </w14:schemeClr>
            </w14:solidFill>
          </w14:textFill>
        </w:rPr>
        <w:t>一般公共预算财政拨款基本支出决算情况说明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7</w:t>
      </w:r>
    </w:p>
    <w:p>
      <w:pPr>
        <w:pStyle w:val="7"/>
        <w:numPr>
          <w:ilvl w:val="0"/>
          <w:numId w:val="1"/>
        </w:numPr>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政府性基金</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预算财政拨款</w:t>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收入</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支出决算情况说明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8</w:t>
      </w:r>
    </w:p>
    <w:p>
      <w:pPr>
        <w:pStyle w:val="7"/>
        <w:numPr>
          <w:ilvl w:val="0"/>
          <w:numId w:val="1"/>
        </w:numPr>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国有资本经营</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预算财政拨款</w:t>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收入</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支出决算情况说明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8</w:t>
      </w:r>
    </w:p>
    <w:p>
      <w:pPr>
        <w:rPr>
          <w:rFonts w:hint="eastAsia" w:ascii="仿宋" w:hAnsi="仿宋" w:eastAsia="仿宋" w:cs="仿宋"/>
          <w:color w:val="0D0D0D" w:themeColor="text1" w:themeTint="F2"/>
          <w:w w:val="98"/>
          <w:sz w:val="32"/>
          <w:szCs w:val="32"/>
          <w:u w:color="000000" w:themeColor="text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_Toc5978_WPSOffice_Level2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九、</w:t>
      </w:r>
      <w:r>
        <w:rPr>
          <w:rFonts w:hint="eastAsia" w:ascii="仿宋" w:hAnsi="仿宋" w:eastAsia="仿宋" w:cs="仿宋"/>
          <w:b w:val="0"/>
          <w:bCs/>
          <w:color w:val="0D0D0D" w:themeColor="text1" w:themeTint="F2"/>
          <w:w w:val="98"/>
          <w:sz w:val="32"/>
          <w:szCs w:val="32"/>
          <w:u w:color="000000" w:themeColor="text1"/>
          <w14:textFill>
            <w14:solidFill>
              <w14:schemeClr w14:val="tx1">
                <w14:lumMod w14:val="95000"/>
                <w14:lumOff w14:val="5000"/>
              </w14:schemeClr>
            </w14:solidFill>
          </w14:textFill>
        </w:rPr>
        <w:t>一般公共预算财政拨款“三公”经费支出决算情况说明</w:t>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9</w:t>
      </w:r>
    </w:p>
    <w:p>
      <w:pPr>
        <w:rPr>
          <w:rFonts w:hint="eastAsia" w:ascii="仿宋" w:hAnsi="仿宋" w:eastAsia="仿宋" w:cs="仿宋"/>
          <w:color w:val="0D0D0D" w:themeColor="text1" w:themeTint="F2"/>
          <w:w w:val="98"/>
          <w:sz w:val="32"/>
          <w:szCs w:val="32"/>
          <w:u w:color="000000" w:themeColor="text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_Toc5978_WPSOffice_Level2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十、</w:t>
      </w:r>
      <w:r>
        <w:rPr>
          <w:rFonts w:hint="eastAsia" w:ascii="仿宋" w:hAnsi="仿宋" w:eastAsia="仿宋" w:cs="仿宋"/>
          <w:b w:val="0"/>
          <w:bCs/>
          <w:color w:val="0D0D0D" w:themeColor="text1" w:themeTint="F2"/>
          <w:w w:val="98"/>
          <w:sz w:val="32"/>
          <w:szCs w:val="32"/>
          <w:u w:color="000000" w:themeColor="text1"/>
          <w:lang w:eastAsia="zh-CN"/>
          <w14:textFill>
            <w14:solidFill>
              <w14:schemeClr w14:val="tx1">
                <w14:lumMod w14:val="95000"/>
                <w14:lumOff w14:val="5000"/>
              </w14:schemeClr>
            </w14:solidFill>
          </w14:textFill>
        </w:rPr>
        <w:t>政府性基金</w:t>
      </w:r>
      <w:r>
        <w:rPr>
          <w:rFonts w:hint="eastAsia" w:ascii="仿宋" w:hAnsi="仿宋" w:eastAsia="仿宋" w:cs="仿宋"/>
          <w:b w:val="0"/>
          <w:bCs/>
          <w:color w:val="0D0D0D" w:themeColor="text1" w:themeTint="F2"/>
          <w:w w:val="98"/>
          <w:sz w:val="32"/>
          <w:szCs w:val="32"/>
          <w:u w:color="000000" w:themeColor="text1"/>
          <w14:textFill>
            <w14:solidFill>
              <w14:schemeClr w14:val="tx1">
                <w14:lumMod w14:val="95000"/>
                <w14:lumOff w14:val="5000"/>
              </w14:schemeClr>
            </w14:solidFill>
          </w14:textFill>
        </w:rPr>
        <w:t>预算财政拨款“三公”经费支出决算情况说明</w:t>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10</w:t>
      </w:r>
    </w:p>
    <w:p>
      <w:pPr>
        <w:rPr>
          <w:rFonts w:hint="eastAsia" w:ascii="仿宋" w:hAnsi="仿宋" w:eastAsia="仿宋" w:cs="仿宋"/>
          <w:color w:val="0D0D0D" w:themeColor="text1" w:themeTint="F2"/>
          <w:w w:val="91"/>
          <w:sz w:val="32"/>
          <w:szCs w:val="32"/>
          <w:u w:color="000000" w:themeColor="text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_Toc5978_WPSOffice_Level2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w w:val="91"/>
          <w:sz w:val="32"/>
          <w:szCs w:val="32"/>
          <w:u w:color="000000" w:themeColor="text1"/>
          <w:lang w:eastAsia="zh-CN"/>
          <w14:textFill>
            <w14:solidFill>
              <w14:schemeClr w14:val="tx1">
                <w14:lumMod w14:val="95000"/>
                <w14:lumOff w14:val="5000"/>
              </w14:schemeClr>
            </w14:solidFill>
          </w14:textFill>
        </w:rPr>
        <w:t>十一、国有资本经营</w:t>
      </w:r>
      <w:r>
        <w:rPr>
          <w:rFonts w:hint="eastAsia" w:ascii="仿宋" w:hAnsi="仿宋" w:eastAsia="仿宋" w:cs="仿宋"/>
          <w:b w:val="0"/>
          <w:bCs/>
          <w:color w:val="0D0D0D" w:themeColor="text1" w:themeTint="F2"/>
          <w:w w:val="91"/>
          <w:sz w:val="32"/>
          <w:szCs w:val="32"/>
          <w:u w:color="000000" w:themeColor="text1"/>
          <w14:textFill>
            <w14:solidFill>
              <w14:schemeClr w14:val="tx1">
                <w14:lumMod w14:val="95000"/>
                <w14:lumOff w14:val="5000"/>
              </w14:schemeClr>
            </w14:solidFill>
          </w14:textFill>
        </w:rPr>
        <w:t>预算财政拨款“三公”经费支出决算情况说明</w:t>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10</w:t>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begin"/>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_Toc19535_WPSOffice_Level2 </w:instrTex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仿宋" w:hAnsi="仿宋" w:eastAsia="仿宋" w:cs="仿宋"/>
          <w:b w:val="0"/>
          <w:bCs/>
          <w:color w:val="0D0D0D" w:themeColor="text1" w:themeTint="F2"/>
          <w:sz w:val="32"/>
          <w:szCs w:val="32"/>
          <w:u w:color="000000" w:themeColor="text1"/>
          <w:lang w:val="en-US" w:eastAsia="zh-CN"/>
          <w14:textFill>
            <w14:solidFill>
              <w14:schemeClr w14:val="tx1">
                <w14:lumMod w14:val="95000"/>
                <w14:lumOff w14:val="5000"/>
              </w14:schemeClr>
            </w14:solidFill>
          </w14:textFill>
        </w:rPr>
        <w:t>十二</w:t>
      </w:r>
      <w:r>
        <w:rPr>
          <w:rFonts w:hint="eastAsia" w:ascii="仿宋" w:hAnsi="仿宋" w:eastAsia="仿宋" w:cs="仿宋"/>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仿宋" w:hAnsi="仿宋" w:eastAsia="仿宋" w:cs="仿宋"/>
          <w:b w:val="0"/>
          <w:bCs/>
          <w:color w:val="0D0D0D" w:themeColor="text1" w:themeTint="F2"/>
          <w:sz w:val="32"/>
          <w:szCs w:val="32"/>
          <w:u w:color="000000" w:themeColor="text1"/>
          <w14:textFill>
            <w14:solidFill>
              <w14:schemeClr w14:val="tx1">
                <w14:lumMod w14:val="95000"/>
                <w14:lumOff w14:val="5000"/>
              </w14:schemeClr>
            </w14:solidFill>
          </w14:textFill>
        </w:rPr>
        <w:t>预算绩效情况说明</w:t>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color="000000" w:themeColor="text1"/>
          <w14:textFill>
            <w14:solidFill>
              <w14:schemeClr w14:val="tx1">
                <w14:lumMod w14:val="95000"/>
                <w14:lumOff w14:val="5000"/>
              </w14:schemeClr>
            </w14:solidFill>
          </w14:textFill>
        </w:rPr>
        <w:fldChar w:fldCharType="end"/>
      </w: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11</w:t>
      </w:r>
    </w:p>
    <w:p>
      <w:pPr>
        <w:pStyle w:val="7"/>
        <w:tabs>
          <w:tab w:val="right" w:leader="dot" w:pos="8306"/>
        </w:tabs>
        <w:ind w:left="0" w:leftChars="0" w:firstLine="0" w:firstLineChars="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十三</w:t>
      </w:r>
      <w:r>
        <w:rPr>
          <w:rFonts w:hint="eastAsia" w:ascii="仿宋" w:hAnsi="仿宋" w:eastAsia="仿宋" w:cs="仿宋"/>
          <w:b w:val="0"/>
          <w:bCs/>
          <w:color w:val="0D0D0D" w:themeColor="text1" w:themeTint="F2"/>
          <w:sz w:val="32"/>
          <w:szCs w:val="32"/>
          <w:u w:val="none" w:color="000000" w:themeColor="text1"/>
          <w:lang w:eastAsia="zh-CN"/>
          <w14:textFill>
            <w14:solidFill>
              <w14:schemeClr w14:val="tx1">
                <w14:lumMod w14:val="95000"/>
                <w14:lumOff w14:val="5000"/>
              </w14:schemeClr>
            </w14:solidFill>
          </w14:textFill>
        </w:rPr>
        <w:t>、</w:t>
      </w:r>
      <w:r>
        <w:rPr>
          <w:rFonts w:hint="eastAsia" w:ascii="仿宋" w:hAnsi="仿宋" w:eastAsia="仿宋" w:cs="仿宋"/>
          <w:b w:val="0"/>
          <w:bCs/>
          <w:color w:val="0D0D0D" w:themeColor="text1" w:themeTint="F2"/>
          <w:sz w:val="32"/>
          <w:szCs w:val="32"/>
          <w:u w:val="none" w:color="000000" w:themeColor="text1"/>
          <w14:textFill>
            <w14:solidFill>
              <w14:schemeClr w14:val="tx1">
                <w14:lumMod w14:val="95000"/>
                <w14:lumOff w14:val="5000"/>
              </w14:schemeClr>
            </w14:solidFill>
          </w14:textFill>
        </w:rPr>
        <w:t>其他重要事项情况说明</w:t>
      </w:r>
      <w:r>
        <w:rPr>
          <w:rFonts w:hint="eastAsia" w:ascii="仿宋" w:hAnsi="仿宋" w:eastAsia="仿宋" w:cs="仿宋"/>
          <w:color w:val="0D0D0D" w:themeColor="text1" w:themeTint="F2"/>
          <w:sz w:val="32"/>
          <w:szCs w:val="32"/>
          <w:u w:val="none" w:color="000000" w:themeColor="text1"/>
          <w14:textFill>
            <w14:solidFill>
              <w14:schemeClr w14:val="tx1">
                <w14:lumMod w14:val="95000"/>
                <w14:lumOff w14:val="5000"/>
              </w14:schemeClr>
            </w14:solidFill>
          </w14:textFill>
        </w:rPr>
        <w:tab/>
      </w:r>
      <w:r>
        <w:rPr>
          <w:rFonts w:hint="eastAsia" w:ascii="仿宋" w:hAnsi="仿宋" w:eastAsia="仿宋" w:cs="仿宋"/>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11</w:t>
      </w:r>
    </w:p>
    <w:p>
      <w:pPr>
        <w:pStyle w:val="6"/>
        <w:tabs>
          <w:tab w:val="right" w:leader="dot" w:pos="8306"/>
        </w:tabs>
        <w:rPr>
          <w:b w:val="0"/>
          <w:bCs w:val="0"/>
          <w:color w:val="0D0D0D" w:themeColor="text1" w:themeTint="F2"/>
          <w:sz w:val="32"/>
          <w:szCs w:val="32"/>
          <w:u w:color="000000" w:themeColor="text1"/>
          <w14:textFill>
            <w14:solidFill>
              <w14:schemeClr w14:val="tx1">
                <w14:lumMod w14:val="95000"/>
                <w14:lumOff w14:val="5000"/>
              </w14:schemeClr>
            </w14:solidFill>
          </w14:textFill>
        </w:rPr>
      </w:pP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begin"/>
      </w:r>
      <w:r>
        <w:rPr>
          <w:b w:val="0"/>
          <w:bCs w:val="0"/>
          <w:color w:val="0D0D0D" w:themeColor="text1" w:themeTint="F2"/>
          <w:sz w:val="32"/>
          <w:szCs w:val="32"/>
          <w:u w:color="000000" w:themeColor="text1"/>
          <w14:textFill>
            <w14:solidFill>
              <w14:schemeClr w14:val="tx1">
                <w14:lumMod w14:val="95000"/>
                <w14:lumOff w14:val="5000"/>
              </w14:schemeClr>
            </w14:solidFill>
          </w14:textFill>
        </w:rPr>
        <w:instrText xml:space="preserve"> HYPERLINK \l _Toc15425_WPSOffice_Level1 </w:instrText>
      </w:r>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separate"/>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第四部分</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名词解释</w:t>
      </w:r>
      <w:r>
        <w:rPr>
          <w:b w:val="0"/>
          <w:bCs w:val="0"/>
          <w:color w:val="0D0D0D" w:themeColor="text1" w:themeTint="F2"/>
          <w:sz w:val="32"/>
          <w:szCs w:val="32"/>
          <w:u w:color="000000" w:themeColor="text1"/>
          <w14:textFill>
            <w14:solidFill>
              <w14:schemeClr w14:val="tx1">
                <w14:lumMod w14:val="95000"/>
                <w14:lumOff w14:val="5000"/>
              </w14:schemeClr>
            </w14:solidFill>
          </w14:textFill>
        </w:rPr>
        <w:tab/>
      </w:r>
      <w:bookmarkStart w:id="1" w:name="_Toc15425_WPSOffice_Level1Page"/>
      <w:r>
        <w:rPr>
          <w:b w:val="0"/>
          <w:bCs w:val="0"/>
          <w:color w:val="0D0D0D" w:themeColor="text1" w:themeTint="F2"/>
          <w:sz w:val="32"/>
          <w:szCs w:val="32"/>
          <w:u w:color="000000" w:themeColor="text1"/>
          <w14:textFill>
            <w14:solidFill>
              <w14:schemeClr w14:val="tx1">
                <w14:lumMod w14:val="95000"/>
                <w14:lumOff w14:val="5000"/>
              </w14:schemeClr>
            </w14:solidFill>
          </w14:textFill>
        </w:rPr>
        <w:t>1</w:t>
      </w:r>
      <w:bookmarkEnd w:id="1"/>
      <w:r>
        <w:rPr>
          <w:b w:val="0"/>
          <w:bCs w:val="0"/>
          <w:color w:val="0D0D0D" w:themeColor="text1" w:themeTint="F2"/>
          <w:sz w:val="32"/>
          <w:szCs w:val="32"/>
          <w:u w:color="000000" w:themeColor="text1"/>
          <w14:textFill>
            <w14:solidFill>
              <w14:schemeClr w14:val="tx1">
                <w14:lumMod w14:val="95000"/>
                <w14:lumOff w14:val="5000"/>
              </w14:schemeClr>
            </w14:solidFill>
          </w14:textFill>
        </w:rPr>
        <w:fldChar w:fldCharType="end"/>
      </w:r>
      <w:bookmarkEnd w:id="0"/>
      <w:r>
        <w:rPr>
          <w:rFonts w:hint="eastAsia"/>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p>
    <w:p>
      <w:pPr>
        <w:jc w:val="left"/>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pPr>
    </w:p>
    <w:p>
      <w:pPr>
        <w:jc w:val="center"/>
        <w:rPr>
          <w:rFonts w:hint="eastAsia" w:ascii="黑体" w:hAnsi="ˎ̥" w:eastAsia="黑体"/>
          <w:b/>
          <w:color w:val="0D0D0D" w:themeColor="text1" w:themeTint="F2"/>
          <w:sz w:val="32"/>
          <w:szCs w:val="32"/>
          <w:u w:color="000000" w:themeColor="text1"/>
          <w:lang w:val="en-US"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2" w:name="_Toc32433_WPSOffice_Level1"/>
      <w:bookmarkStart w:id="3" w:name="_Toc23465_WPSOffice_Level1"/>
      <w:bookmarkStart w:id="4" w:name="_Toc10720_WPSOffice_Level1"/>
      <w:bookmarkStart w:id="5" w:name="_Toc1704_WPSOffice_Level1"/>
      <w:bookmarkStart w:id="6" w:name="_Toc22941_WPSOffice_Level1"/>
      <w:bookmarkStart w:id="7" w:name="_Toc10049_WPSOffice_Level1"/>
      <w:bookmarkStart w:id="8" w:name="_Toc24238_WPSOffice_Level2"/>
      <w:bookmarkStart w:id="9" w:name="_Toc20205_WPSOffice_Level2"/>
      <w:bookmarkStart w:id="10" w:name="_Toc14159_WPSOffice_Level2"/>
      <w:bookmarkStart w:id="11" w:name="_Toc26580_WPSOffice_Level2"/>
      <w:bookmarkStart w:id="12" w:name="_Toc32622_WPSOffice_Level2"/>
      <w:bookmarkStart w:id="13" w:name="_Toc20274_WPSOffice_Level2"/>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ind w:firstLine="960" w:firstLineChars="300"/>
        <w:jc w:val="both"/>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t>第一部分</w:t>
      </w:r>
      <w:r>
        <w:rPr>
          <w:rFonts w:hint="eastAsia" w:ascii="黑体" w:hAnsi="ˎ̥" w:eastAsia="黑体"/>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三亚市</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天涯区第三</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幼儿园单位</w:t>
      </w:r>
      <w:r>
        <w:rPr>
          <w:rFonts w:hint="eastAsia" w:ascii="黑体" w:hAnsi="ˎ̥" w:eastAsia="黑体"/>
          <w:color w:val="0D0D0D" w:themeColor="text1" w:themeTint="F2"/>
          <w:sz w:val="32"/>
          <w:szCs w:val="32"/>
          <w:u w:color="000000" w:themeColor="text1"/>
          <w14:textFill>
            <w14:solidFill>
              <w14:schemeClr w14:val="tx1">
                <w14:lumMod w14:val="95000"/>
                <w14:lumOff w14:val="5000"/>
              </w14:schemeClr>
            </w14:solidFill>
          </w14:textFill>
        </w:rPr>
        <w:t>概况</w:t>
      </w:r>
      <w:bookmarkEnd w:id="2"/>
      <w:bookmarkEnd w:id="3"/>
      <w:bookmarkEnd w:id="4"/>
      <w:bookmarkEnd w:id="5"/>
      <w:bookmarkEnd w:id="6"/>
      <w:bookmarkEnd w:id="7"/>
    </w:p>
    <w:bookmarkEnd w:id="8"/>
    <w:p>
      <w:pPr>
        <w:numPr>
          <w:ilvl w:val="0"/>
          <w:numId w:val="0"/>
        </w:numPr>
        <w:ind w:firstLine="960" w:firstLineChars="300"/>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一、</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单位</w:t>
      </w: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职责</w:t>
      </w:r>
      <w:bookmarkEnd w:id="9"/>
      <w:bookmarkEnd w:id="10"/>
      <w:bookmarkEnd w:id="11"/>
      <w:bookmarkEnd w:id="12"/>
      <w:bookmarkEnd w:id="13"/>
    </w:p>
    <w:p>
      <w:pPr>
        <w:numPr>
          <w:ilvl w:val="0"/>
          <w:numId w:val="0"/>
        </w:numPr>
        <w:ind w:firstLine="640" w:firstLineChars="200"/>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（一）贯彻执行党和国家的教育方针、政策、法规，研究拟定全园教育发展战略和教育实施方向。</w:t>
      </w:r>
    </w:p>
    <w:p>
      <w:pPr>
        <w:numPr>
          <w:ilvl w:val="0"/>
          <w:numId w:val="0"/>
        </w:numPr>
        <w:ind w:firstLine="640" w:firstLineChars="200"/>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（二）研究拟定幼儿园发展规划和年度计划，组织实施学前教育办学体制改革。</w:t>
      </w:r>
    </w:p>
    <w:p>
      <w:pPr>
        <w:numPr>
          <w:ilvl w:val="0"/>
          <w:numId w:val="0"/>
        </w:numPr>
        <w:ind w:firstLine="640" w:firstLineChars="200"/>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（三）管理和指导幼儿园保育教育工作，确保普及学前教育工作成果。</w:t>
      </w:r>
    </w:p>
    <w:p>
      <w:pPr>
        <w:numPr>
          <w:ilvl w:val="0"/>
          <w:numId w:val="0"/>
        </w:numPr>
        <w:ind w:firstLine="640" w:firstLineChars="200"/>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（四）管理幼儿园教育经费，执行政府会计准则制度。</w:t>
      </w:r>
    </w:p>
    <w:p>
      <w:pPr>
        <w:ind w:firstLine="640" w:firstLineChars="200"/>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pPr>
      <w:bookmarkStart w:id="14" w:name="_Toc24474_WPSOffice_Level2"/>
      <w:bookmarkStart w:id="15" w:name="_Toc17796_WPSOffice_Level2"/>
      <w:bookmarkStart w:id="16" w:name="_Toc4833_WPSOffice_Level2"/>
      <w:bookmarkStart w:id="17" w:name="_Toc24059_WPSOffice_Level2"/>
      <w:bookmarkStart w:id="18" w:name="_Toc6572_WPSOffice_Level2"/>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机构设置</w:t>
      </w:r>
      <w:bookmarkEnd w:id="14"/>
      <w:bookmarkEnd w:id="15"/>
      <w:bookmarkEnd w:id="16"/>
      <w:bookmarkEnd w:id="17"/>
      <w:bookmarkEnd w:id="18"/>
    </w:p>
    <w:p>
      <w:pPr>
        <w:jc w:val="cente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kern w:val="0"/>
          <w:sz w:val="32"/>
          <w:szCs w:val="32"/>
          <w:u w:val="none" w:color="000000" w:themeColor="text1"/>
          <w:lang w:val="en-US" w:eastAsia="zh-CN"/>
          <w14:textFill>
            <w14:solidFill>
              <w14:schemeClr w14:val="tx1">
                <w14:lumMod w14:val="95000"/>
                <w14:lumOff w14:val="5000"/>
              </w14:schemeClr>
            </w14:solidFill>
          </w14:textFill>
        </w:rPr>
        <w:t>本单位为基层预算单位，没有下属单位，无内设机构。</w:t>
      </w:r>
      <w:bookmarkStart w:id="19" w:name="_Toc30451_WPSOffice_Level1"/>
      <w:bookmarkStart w:id="20" w:name="_Toc30690_WPSOffice_Level1"/>
      <w:bookmarkStart w:id="21" w:name="_Toc28253_WPSOffice_Level1"/>
      <w:bookmarkStart w:id="22" w:name="_Toc8164_WPSOffice_Level1"/>
      <w:bookmarkStart w:id="23" w:name="_Toc15521_WPSOffice_Level1"/>
      <w:bookmarkStart w:id="24" w:name="_Toc6234_WPSOffice_Level1"/>
      <w:bookmarkStart w:id="25" w:name="_Toc6211_WPSOffice_Level2"/>
      <w:bookmarkStart w:id="26" w:name="_Toc32695_WPSOffice_Level2"/>
      <w:bookmarkStart w:id="27" w:name="_Toc8867_WPSOffice_Level2"/>
      <w:bookmarkStart w:id="28" w:name="_Toc32472_WPSOffice_Level2"/>
      <w:bookmarkStart w:id="29" w:name="_Toc11518_WPSOffice_Level2"/>
      <w:bookmarkStart w:id="30" w:name="_Toc4029_WPSOffice_Level2"/>
    </w:p>
    <w:p>
      <w:pPr>
        <w:jc w:val="cente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第二部分</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三亚市</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天涯区第三</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幼儿园</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3单位</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决算</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公开</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报表</w:t>
      </w:r>
      <w:bookmarkEnd w:id="19"/>
      <w:bookmarkEnd w:id="20"/>
      <w:bookmarkEnd w:id="21"/>
      <w:bookmarkEnd w:id="22"/>
      <w:bookmarkEnd w:id="23"/>
      <w:bookmarkEnd w:id="24"/>
    </w:p>
    <w:p>
      <w:pPr>
        <w:ind w:firstLine="645"/>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一、</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收入支出决算</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公开表（见正文附件）</w:t>
      </w:r>
      <w:bookmarkEnd w:id="25"/>
      <w:bookmarkEnd w:id="26"/>
      <w:bookmarkEnd w:id="27"/>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28"/>
      <w:bookmarkEnd w:id="29"/>
      <w:bookmarkEnd w:id="30"/>
    </w:p>
    <w:p>
      <w:pPr>
        <w:ind w:firstLine="645"/>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31" w:name="_Toc23139_WPSOffice_Level2"/>
      <w:bookmarkStart w:id="32" w:name="_Toc26621_WPSOffice_Level2"/>
      <w:bookmarkStart w:id="33" w:name="_Toc25608_WPSOffice_Level2"/>
      <w:bookmarkStart w:id="34" w:name="_Toc30334_WPSOffice_Level2"/>
      <w:bookmarkStart w:id="35" w:name="_Toc28622_WPSOffice_Level2"/>
      <w:bookmarkStart w:id="36" w:name="_Toc14349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二、</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收入决算</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公开表（见正文附件）</w:t>
      </w:r>
      <w:bookmarkEnd w:id="31"/>
      <w:bookmarkEnd w:id="32"/>
      <w:bookmarkEnd w:id="33"/>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34"/>
      <w:bookmarkEnd w:id="35"/>
      <w:bookmarkEnd w:id="36"/>
    </w:p>
    <w:p>
      <w:pPr>
        <w:ind w:firstLine="645"/>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37" w:name="_Toc17858_WPSOffice_Level2"/>
      <w:bookmarkStart w:id="38" w:name="_Toc17626_WPSOffice_Level2"/>
      <w:bookmarkStart w:id="39" w:name="_Toc3262_WPSOffice_Level2"/>
      <w:bookmarkStart w:id="40" w:name="_Toc13854_WPSOffice_Level2"/>
      <w:bookmarkStart w:id="41" w:name="_Toc5489_WPSOffice_Level2"/>
      <w:bookmarkStart w:id="42" w:name="_Toc14658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三、</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支出决算</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公开表（见正文附件）</w:t>
      </w:r>
      <w:bookmarkEnd w:id="37"/>
      <w:bookmarkEnd w:id="38"/>
      <w:bookmarkEnd w:id="39"/>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40"/>
      <w:bookmarkEnd w:id="41"/>
      <w:bookmarkEnd w:id="42"/>
    </w:p>
    <w:p>
      <w:pPr>
        <w:ind w:firstLine="645"/>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43" w:name="_Toc13701_WPSOffice_Level2"/>
      <w:bookmarkStart w:id="44" w:name="_Toc21415_WPSOffice_Level2"/>
      <w:bookmarkStart w:id="45" w:name="_Toc23591_WPSOffice_Level2"/>
      <w:bookmarkStart w:id="46" w:name="_Toc4265_WPSOffice_Level2"/>
      <w:bookmarkStart w:id="47" w:name="_Toc23493_WPSOffice_Level2"/>
      <w:bookmarkStart w:id="48" w:name="_Toc7988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四</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财政拨款收入支出决算</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公开表（见正文附件）</w:t>
      </w:r>
      <w:bookmarkEnd w:id="43"/>
      <w:bookmarkEnd w:id="44"/>
      <w:bookmarkEnd w:id="45"/>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46"/>
      <w:bookmarkEnd w:id="47"/>
      <w:bookmarkEnd w:id="48"/>
    </w:p>
    <w:p>
      <w:pPr>
        <w:ind w:firstLine="645"/>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49" w:name="_Toc25166_WPSOffice_Level2"/>
      <w:bookmarkStart w:id="50" w:name="_Toc7879_WPSOffice_Level2"/>
      <w:bookmarkStart w:id="51" w:name="_Toc23829_WPSOffice_Level2"/>
      <w:bookmarkStart w:id="52" w:name="_Toc22783_WPSOffice_Level2"/>
      <w:bookmarkStart w:id="53" w:name="_Toc2158_WPSOffice_Level2"/>
      <w:bookmarkStart w:id="54" w:name="_Toc13516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五、</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一般公共预算财政拨款收入支出决算</w:t>
      </w:r>
      <w:bookmarkEnd w:id="49"/>
      <w:bookmarkEnd w:id="50"/>
      <w:bookmarkEnd w:id="51"/>
      <w:bookmarkEnd w:id="52"/>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w:t>
      </w:r>
    </w:p>
    <w:p>
      <w:pPr>
        <w:ind w:firstLine="1302" w:firstLineChars="407"/>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bookmarkEnd w:id="53"/>
      <w:bookmarkEnd w:id="54"/>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5"/>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pPr>
      <w:bookmarkStart w:id="55" w:name="_Toc25362_WPSOffice_Level2"/>
      <w:bookmarkStart w:id="56" w:name="_Toc5343_WPSOffice_Level2"/>
      <w:bookmarkStart w:id="57" w:name="_Toc2632_WPSOffice_Level2"/>
      <w:bookmarkStart w:id="58" w:name="_Toc17283_WPSOffice_Level2"/>
      <w:bookmarkStart w:id="59" w:name="_Toc8373_WPSOffice_Level2"/>
      <w:bookmarkStart w:id="60" w:name="_Toc17833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六、</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一般公共预算财政拨款基本支出决算</w:t>
      </w:r>
      <w:bookmarkEnd w:id="55"/>
      <w:bookmarkEnd w:id="56"/>
      <w:bookmarkEnd w:id="57"/>
      <w:bookmarkEnd w:id="58"/>
      <w:bookmarkEnd w:id="59"/>
      <w:bookmarkEnd w:id="60"/>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w:t>
      </w:r>
    </w:p>
    <w:p>
      <w:pPr>
        <w:ind w:firstLine="1280" w:firstLineChars="40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ind w:left="1118" w:leftChars="304" w:hanging="480" w:hangingChars="150"/>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pPr>
      <w:bookmarkStart w:id="61" w:name="_Toc1533_WPSOffice_Level2"/>
      <w:bookmarkStart w:id="62" w:name="_Toc6020_WPSOffice_Level2"/>
      <w:bookmarkStart w:id="63" w:name="_Toc5594_WPSOffice_Level2"/>
      <w:bookmarkStart w:id="64" w:name="_Toc11799_WPSOffice_Level2"/>
      <w:bookmarkStart w:id="65" w:name="_Toc21310_WPSOffice_Level2"/>
      <w:bookmarkStart w:id="66" w:name="_Toc13345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七、</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政府性基金预算财政拨款收入支出决算</w:t>
      </w:r>
      <w:bookmarkEnd w:id="61"/>
      <w:bookmarkEnd w:id="62"/>
      <w:bookmarkEnd w:id="63"/>
      <w:bookmarkEnd w:id="64"/>
      <w:bookmarkEnd w:id="65"/>
      <w:bookmarkEnd w:id="66"/>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w:t>
      </w:r>
    </w:p>
    <w:p>
      <w:pPr>
        <w:ind w:left="1277" w:leftChars="608" w:firstLine="160" w:firstLineChars="5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ind w:left="1118" w:leftChars="304" w:hanging="480" w:hangingChars="150"/>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八、</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国有资本经营</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预算财政拨款收入支出决算</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公开表</w:t>
      </w:r>
    </w:p>
    <w:p>
      <w:pPr>
        <w:ind w:left="1277" w:leftChars="608" w:firstLine="160" w:firstLineChars="5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numPr>
          <w:ilvl w:val="0"/>
          <w:numId w:val="0"/>
        </w:numP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pPr>
      <w:bookmarkStart w:id="67" w:name="_Toc29886_WPSOffice_Level2"/>
      <w:bookmarkStart w:id="68" w:name="_Toc1820_WPSOffice_Level2"/>
      <w:bookmarkStart w:id="69" w:name="_Toc19961_WPSOffice_Level2"/>
      <w:bookmarkStart w:id="70" w:name="_Toc9377_WPSOffice_Level2"/>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九、</w:t>
      </w:r>
      <w:r>
        <w:rPr>
          <w:rFonts w:hint="eastAsia" w:ascii="黑体" w:hAnsi="黑体" w:eastAsia="黑体" w:cs="黑体"/>
          <w:color w:val="0D0D0D" w:themeColor="text1" w:themeTint="F2"/>
          <w:sz w:val="32"/>
          <w:szCs w:val="32"/>
          <w:u w:color="000000" w:themeColor="text1"/>
          <w14:textFill>
            <w14:solidFill>
              <w14:schemeClr w14:val="tx1">
                <w14:lumMod w14:val="95000"/>
                <w14:lumOff w14:val="5000"/>
              </w14:schemeClr>
            </w14:solidFill>
          </w14:textFill>
        </w:rPr>
        <w:t>一般公共预算财政拨款“三公”经费支出决算</w:t>
      </w:r>
    </w:p>
    <w:p>
      <w:pPr>
        <w:numPr>
          <w:ilvl w:val="0"/>
          <w:numId w:val="0"/>
        </w:numPr>
        <w:ind w:firstLine="0" w:firstLineChars="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bookmarkEnd w:id="67"/>
      <w:bookmarkEnd w:id="68"/>
      <w:bookmarkEnd w:id="69"/>
      <w:bookmarkEnd w:id="70"/>
      <w:r>
        <w:rPr>
          <w:rFonts w:hint="eastAsia" w:ascii="黑体" w:hAnsi="黑体" w:eastAsia="黑体" w:cs="黑体"/>
          <w:color w:val="0D0D0D" w:themeColor="text1" w:themeTint="F2"/>
          <w:sz w:val="32"/>
          <w:szCs w:val="32"/>
          <w:u w:color="000000" w:themeColor="text1"/>
          <w:lang w:val="en-US" w:eastAsia="zh-CN"/>
          <w14:textFill>
            <w14:solidFill>
              <w14:schemeClr w14:val="tx1">
                <w14:lumMod w14:val="95000"/>
                <w14:lumOff w14:val="5000"/>
              </w14:schemeClr>
            </w14:solidFill>
          </w14:textFill>
        </w:rPr>
        <w:t>公开表</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numPr>
          <w:ilvl w:val="0"/>
          <w:numId w:val="0"/>
        </w:numPr>
        <w:rPr>
          <w:rFonts w:hint="eastAsia" w:ascii="黑体" w:hAnsi="黑体" w:eastAsia="黑体" w:cs="黑体"/>
          <w:color w:val="0D0D0D" w:themeColor="text1" w:themeTint="F2"/>
          <w:w w:val="96"/>
          <w:sz w:val="32"/>
          <w:szCs w:val="32"/>
          <w:u w:color="000000" w:themeColor="text1"/>
          <w14:textFill>
            <w14:solidFill>
              <w14:schemeClr w14:val="tx1">
                <w14:lumMod w14:val="95000"/>
                <w14:lumOff w14:val="5000"/>
              </w14:schemeClr>
            </w14:solidFill>
          </w14:textFill>
        </w:rPr>
      </w:pPr>
      <w:r>
        <w:rPr>
          <w:rFonts w:hint="eastAsia" w:ascii="黑体" w:hAnsi="黑体" w:eastAsia="黑体" w:cs="黑体"/>
          <w:color w:val="0D0D0D" w:themeColor="text1" w:themeTint="F2"/>
          <w:w w:val="96"/>
          <w:sz w:val="32"/>
          <w:szCs w:val="32"/>
          <w:u w:color="000000" w:themeColor="text1"/>
          <w:lang w:val="en-US" w:eastAsia="zh-CN"/>
          <w14:textFill>
            <w14:solidFill>
              <w14:schemeClr w14:val="tx1">
                <w14:lumMod w14:val="95000"/>
                <w14:lumOff w14:val="5000"/>
              </w14:schemeClr>
            </w14:solidFill>
          </w14:textFill>
        </w:rPr>
        <w:t xml:space="preserve">    十、</w:t>
      </w:r>
      <w:r>
        <w:rPr>
          <w:rFonts w:hint="eastAsia" w:ascii="黑体" w:hAnsi="黑体" w:eastAsia="黑体" w:cs="黑体"/>
          <w:color w:val="0D0D0D" w:themeColor="text1" w:themeTint="F2"/>
          <w:w w:val="96"/>
          <w:sz w:val="32"/>
          <w:szCs w:val="32"/>
          <w:u w:color="000000" w:themeColor="text1"/>
          <w:lang w:eastAsia="zh-CN"/>
          <w14:textFill>
            <w14:solidFill>
              <w14:schemeClr w14:val="tx1">
                <w14:lumMod w14:val="95000"/>
                <w14:lumOff w14:val="5000"/>
              </w14:schemeClr>
            </w14:solidFill>
          </w14:textFill>
        </w:rPr>
        <w:t>政府性基金</w:t>
      </w:r>
      <w:r>
        <w:rPr>
          <w:rFonts w:hint="eastAsia" w:ascii="黑体" w:hAnsi="黑体" w:eastAsia="黑体" w:cs="黑体"/>
          <w:color w:val="0D0D0D" w:themeColor="text1" w:themeTint="F2"/>
          <w:w w:val="96"/>
          <w:sz w:val="32"/>
          <w:szCs w:val="32"/>
          <w:u w:color="000000" w:themeColor="text1"/>
          <w14:textFill>
            <w14:solidFill>
              <w14:schemeClr w14:val="tx1">
                <w14:lumMod w14:val="95000"/>
                <w14:lumOff w14:val="5000"/>
              </w14:schemeClr>
            </w14:solidFill>
          </w14:textFill>
        </w:rPr>
        <w:t>预算财政拨款“三公”经费支出决算</w:t>
      </w:r>
    </w:p>
    <w:p>
      <w:pPr>
        <w:numPr>
          <w:ilvl w:val="0"/>
          <w:numId w:val="0"/>
        </w:numPr>
        <w:ind w:firstLine="0" w:firstLineChars="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w w:val="96"/>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黑体" w:eastAsia="黑体" w:cs="黑体"/>
          <w:color w:val="0D0D0D" w:themeColor="text1" w:themeTint="F2"/>
          <w:w w:val="96"/>
          <w:sz w:val="32"/>
          <w:szCs w:val="32"/>
          <w:u w:color="000000" w:themeColor="text1"/>
          <w:lang w:eastAsia="zh-CN"/>
          <w14:textFill>
            <w14:solidFill>
              <w14:schemeClr w14:val="tx1">
                <w14:lumMod w14:val="95000"/>
                <w14:lumOff w14:val="5000"/>
              </w14:schemeClr>
            </w14:solidFill>
          </w14:textFill>
        </w:rPr>
        <w:t>公开表</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numPr>
          <w:ilvl w:val="0"/>
          <w:numId w:val="0"/>
        </w:numPr>
        <w:rPr>
          <w:rFonts w:hint="eastAsia" w:ascii="黑体" w:hAnsi="黑体" w:eastAsia="黑体" w:cs="黑体"/>
          <w:color w:val="0D0D0D" w:themeColor="text1" w:themeTint="F2"/>
          <w:w w:val="96"/>
          <w:sz w:val="32"/>
          <w:szCs w:val="32"/>
          <w:u w:color="000000" w:themeColor="text1"/>
          <w14:textFill>
            <w14:solidFill>
              <w14:schemeClr w14:val="tx1">
                <w14:lumMod w14:val="95000"/>
                <w14:lumOff w14:val="5000"/>
              </w14:schemeClr>
            </w14:solidFill>
          </w14:textFill>
        </w:rPr>
      </w:pPr>
      <w:r>
        <w:rPr>
          <w:rFonts w:hint="eastAsia" w:ascii="黑体" w:hAnsi="黑体" w:eastAsia="黑体" w:cs="黑体"/>
          <w:color w:val="0D0D0D" w:themeColor="text1" w:themeTint="F2"/>
          <w:w w:val="96"/>
          <w:sz w:val="32"/>
          <w:szCs w:val="32"/>
          <w:u w:color="000000" w:themeColor="text1"/>
          <w:lang w:val="en-US" w:eastAsia="zh-CN"/>
          <w14:textFill>
            <w14:solidFill>
              <w14:schemeClr w14:val="tx1">
                <w14:lumMod w14:val="95000"/>
                <w14:lumOff w14:val="5000"/>
              </w14:schemeClr>
            </w14:solidFill>
          </w14:textFill>
        </w:rPr>
        <w:t xml:space="preserve">    十一、</w:t>
      </w:r>
      <w:r>
        <w:rPr>
          <w:rFonts w:hint="eastAsia" w:ascii="黑体" w:hAnsi="黑体" w:eastAsia="黑体" w:cs="黑体"/>
          <w:color w:val="0D0D0D" w:themeColor="text1" w:themeTint="F2"/>
          <w:w w:val="96"/>
          <w:sz w:val="32"/>
          <w:szCs w:val="32"/>
          <w:u w:color="000000" w:themeColor="text1"/>
          <w:lang w:eastAsia="zh-CN"/>
          <w14:textFill>
            <w14:solidFill>
              <w14:schemeClr w14:val="tx1">
                <w14:lumMod w14:val="95000"/>
                <w14:lumOff w14:val="5000"/>
              </w14:schemeClr>
            </w14:solidFill>
          </w14:textFill>
        </w:rPr>
        <w:t>国有资本经营</w:t>
      </w:r>
      <w:r>
        <w:rPr>
          <w:rFonts w:hint="eastAsia" w:ascii="黑体" w:hAnsi="黑体" w:eastAsia="黑体" w:cs="黑体"/>
          <w:color w:val="0D0D0D" w:themeColor="text1" w:themeTint="F2"/>
          <w:w w:val="96"/>
          <w:sz w:val="32"/>
          <w:szCs w:val="32"/>
          <w:u w:color="000000" w:themeColor="text1"/>
          <w14:textFill>
            <w14:solidFill>
              <w14:schemeClr w14:val="tx1">
                <w14:lumMod w14:val="95000"/>
                <w14:lumOff w14:val="5000"/>
              </w14:schemeClr>
            </w14:solidFill>
          </w14:textFill>
        </w:rPr>
        <w:t>预算财政拨款“三公”经费支出决算</w:t>
      </w:r>
    </w:p>
    <w:p>
      <w:pPr>
        <w:numPr>
          <w:ilvl w:val="0"/>
          <w:numId w:val="0"/>
        </w:numPr>
        <w:ind w:firstLine="0" w:firstLineChars="0"/>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w w:val="96"/>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黑体" w:eastAsia="黑体" w:cs="黑体"/>
          <w:color w:val="0D0D0D" w:themeColor="text1" w:themeTint="F2"/>
          <w:w w:val="96"/>
          <w:sz w:val="32"/>
          <w:szCs w:val="32"/>
          <w:u w:color="000000" w:themeColor="text1"/>
          <w:lang w:eastAsia="zh-CN"/>
          <w14:textFill>
            <w14:solidFill>
              <w14:schemeClr w14:val="tx1">
                <w14:lumMod w14:val="95000"/>
                <w14:lumOff w14:val="5000"/>
              </w14:schemeClr>
            </w14:solidFill>
          </w14:textFill>
        </w:rPr>
        <w:t>公开表</w:t>
      </w:r>
      <w:r>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t>（见正文附件）。</w:t>
      </w:r>
    </w:p>
    <w:p>
      <w:pPr>
        <w:jc w:val="center"/>
        <w:rPr>
          <w:rFonts w:hint="eastAsia" w:ascii="黑体" w:hAnsi="ˎ̥" w:eastAsia="黑体"/>
          <w:color w:val="0D0D0D" w:themeColor="text1" w:themeTint="F2"/>
          <w:sz w:val="32"/>
          <w:szCs w:val="32"/>
          <w:u w:color="000000" w:themeColor="text1"/>
          <w14:textFill>
            <w14:solidFill>
              <w14:schemeClr w14:val="tx1">
                <w14:lumMod w14:val="95000"/>
                <w14:lumOff w14:val="5000"/>
              </w14:schemeClr>
            </w14:solidFill>
          </w14:textFill>
        </w:rPr>
      </w:pPr>
      <w:bookmarkStart w:id="71" w:name="_Toc16686_WPSOffice_Level1"/>
      <w:bookmarkStart w:id="72" w:name="_Toc27590_WPSOffice_Level1"/>
      <w:bookmarkStart w:id="73" w:name="_Toc29683_WPSOffice_Level1"/>
      <w:bookmarkStart w:id="74" w:name="_Toc31264_WPSOffice_Level1"/>
      <w:bookmarkStart w:id="75" w:name="_Toc4402_WPSOffice_Level1"/>
      <w:bookmarkStart w:id="76" w:name="_Toc28629_WPSOffice_Level1"/>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第三部分</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三亚市</w:t>
      </w:r>
      <w:r>
        <w:rPr>
          <w:rFonts w:hint="eastAsia" w:ascii="黑体" w:hAnsi="ˎ̥" w:eastAsia="黑体"/>
          <w:color w:val="0D0D0D" w:themeColor="text1" w:themeTint="F2"/>
          <w:sz w:val="32"/>
          <w:szCs w:val="32"/>
          <w:u w:val="none" w:color="000000" w:themeColor="text1"/>
          <w:lang w:val="en-US" w:eastAsia="zh-CN"/>
          <w14:textFill>
            <w14:solidFill>
              <w14:schemeClr w14:val="tx1">
                <w14:lumMod w14:val="95000"/>
                <w14:lumOff w14:val="5000"/>
              </w14:schemeClr>
            </w14:solidFill>
          </w14:textFill>
        </w:rPr>
        <w:t>天涯区第三</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幼儿园</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黑体" w:hAnsi="ˎ̥" w:eastAsia="黑体"/>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黑体" w:hAnsi="ˎ̥" w:eastAsia="黑体"/>
          <w:b w:val="0"/>
          <w:bCs w:val="0"/>
          <w:color w:val="0D0D0D" w:themeColor="text1" w:themeTint="F2"/>
          <w:sz w:val="32"/>
          <w:szCs w:val="32"/>
          <w:u w:color="000000" w:themeColor="text1"/>
          <w:lang w:val="en-US" w:eastAsia="zh-CN"/>
          <w14:textFill>
            <w14:solidFill>
              <w14:schemeClr w14:val="tx1">
                <w14:lumMod w14:val="95000"/>
                <w14:lumOff w14:val="5000"/>
              </w14:schemeClr>
            </w14:solidFill>
          </w14:textFill>
        </w:rPr>
        <w:t>单位</w:t>
      </w:r>
      <w:r>
        <w:rPr>
          <w:rFonts w:hint="eastAsia" w:ascii="黑体" w:hAnsi="ˎ̥" w:eastAsia="黑体"/>
          <w:b w:val="0"/>
          <w:bCs w:val="0"/>
          <w:color w:val="0D0D0D" w:themeColor="text1" w:themeTint="F2"/>
          <w:sz w:val="32"/>
          <w:szCs w:val="32"/>
          <w:u w:color="000000" w:themeColor="text1"/>
          <w14:textFill>
            <w14:solidFill>
              <w14:schemeClr w14:val="tx1">
                <w14:lumMod w14:val="95000"/>
                <w14:lumOff w14:val="5000"/>
              </w14:schemeClr>
            </w14:solidFill>
          </w14:textFill>
        </w:rPr>
        <w:t>决算情况说明</w:t>
      </w:r>
      <w:bookmarkEnd w:id="71"/>
      <w:bookmarkEnd w:id="72"/>
      <w:bookmarkEnd w:id="73"/>
      <w:bookmarkEnd w:id="74"/>
      <w:bookmarkEnd w:id="75"/>
      <w:bookmarkEnd w:id="76"/>
    </w:p>
    <w:p>
      <w:pPr>
        <w:numPr>
          <w:ilvl w:val="0"/>
          <w:numId w:val="0"/>
        </w:numPr>
        <w:ind w:firstLine="640" w:firstLineChars="200"/>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收入支出决算总体情况说明</w:t>
      </w:r>
    </w:p>
    <w:p>
      <w:pPr>
        <w:numPr>
          <w:ilvl w:val="0"/>
          <w:numId w:val="0"/>
        </w:numPr>
        <w:spacing w:line="240" w:lineRule="auto"/>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2023年度收入总计787.83万元，支出总计787.83万元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增加166.34</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上升26.76</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增加166.34</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增加26.76</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numPr>
          <w:ilvl w:val="0"/>
          <w:numId w:val="0"/>
        </w:numPr>
        <w:ind w:firstLine="640" w:firstLineChars="200"/>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收入决算情况说明</w:t>
      </w:r>
    </w:p>
    <w:p>
      <w:pPr>
        <w:numPr>
          <w:ilvl w:val="0"/>
          <w:numId w:val="0"/>
        </w:numPr>
        <w:ind w:firstLine="640" w:firstLineChars="200"/>
        <w:rPr>
          <w:rFonts w:hint="default"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本年收入合计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787.83</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万元，其中：财政拨款收入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782.89</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99.4</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%；上级补助收入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%；事业收入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%；经营收入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%；附属单位上缴收入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%；其他收入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4.94</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0.6%。</w:t>
      </w:r>
    </w:p>
    <w:p>
      <w:pPr>
        <w:ind w:firstLine="627" w:firstLineChars="196"/>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支出决算情况说明</w:t>
      </w:r>
    </w:p>
    <w:p>
      <w:pPr>
        <w:ind w:firstLine="640" w:firstLineChars="200"/>
        <w:rPr>
          <w:rFonts w:hint="eastAsia" w:ascii="仿宋_GB2312" w:hAnsi="ˎ̥" w:eastAsia="仿宋_GB2312"/>
          <w:color w:val="0D0D0D" w:themeColor="text1" w:themeTint="F2"/>
          <w:sz w:val="32"/>
          <w:szCs w:val="32"/>
          <w:highlight w:val="yellow"/>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本年支出合计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787.83</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万元，其中：基本支出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96.35</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12.22</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%；项目支出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691.48</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87.78</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%；上缴上级支出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%；经营支出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%；对附属单位补助支出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27" w:firstLineChars="196"/>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四、</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财政拨款收入支出决算总体情况说明</w:t>
      </w:r>
    </w:p>
    <w:p>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s="Times New Roman"/>
          <w:sz w:val="32"/>
          <w:szCs w:val="32"/>
          <w:highlight w:val="none"/>
          <w:lang w:val="en-US" w:eastAsia="zh-CN"/>
        </w:rPr>
        <w:t>万元，支出总计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s="Times New Roman"/>
          <w:sz w:val="32"/>
          <w:szCs w:val="32"/>
          <w:highlight w:val="none"/>
          <w:lang w:val="en-US" w:eastAsia="zh-CN"/>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增加179.39</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上升29.72</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增加179.39</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增加29.72</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工资福利支出增加，社保基数提高</w:t>
      </w:r>
      <w:r>
        <w:rPr>
          <w:rFonts w:hint="eastAsia" w:ascii="仿宋_GB2312" w:hAnsi="ˎ̥" w:eastAsia="仿宋_GB2312" w:cs="仿宋_GB2312"/>
          <w:sz w:val="32"/>
          <w:szCs w:val="32"/>
          <w:highlight w:val="none"/>
          <w:lang w:eastAsia="zh-CN"/>
        </w:rPr>
        <w:t>。</w:t>
      </w:r>
    </w:p>
    <w:p>
      <w:pPr>
        <w:ind w:firstLine="627" w:firstLineChars="196"/>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五、</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一般公共预算财政拨款支出决算情况说明</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77" w:name="_Toc13694_WPSOffice_Level2"/>
      <w:bookmarkStart w:id="78" w:name="_Toc17398_WPSOffice_Level2"/>
      <w:bookmarkStart w:id="79" w:name="_Toc9989_WPSOffice_Level2"/>
      <w:bookmarkStart w:id="80" w:name="_Toc23005_WPSOffice_Level2"/>
      <w:bookmarkStart w:id="81" w:name="_Toc19665_WPSOffice_Level2"/>
      <w:bookmarkStart w:id="82" w:name="_Toc21737_WPSOffice_Level2"/>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（一）</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一般公共预算财政拨款支出决算总体情况</w:t>
      </w:r>
      <w:bookmarkEnd w:id="77"/>
      <w:bookmarkEnd w:id="78"/>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79"/>
      <w:bookmarkEnd w:id="80"/>
      <w:bookmarkEnd w:id="81"/>
      <w:bookmarkEnd w:id="82"/>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一般公共预算财政拨款支出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万元，占本年支出合计的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99.4</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bookmarkStart w:id="83" w:name="_Toc2711_WPSOffice_Level2"/>
      <w:bookmarkStart w:id="84" w:name="_Toc18793_WPSOffice_Level2"/>
      <w:bookmarkStart w:id="85" w:name="_Toc23864_WPSOffice_Level2"/>
      <w:bookmarkStart w:id="86" w:name="_Toc27767_WPSOffice_Level2"/>
      <w:bookmarkStart w:id="87" w:name="_Toc19075_WPSOffice_Level2"/>
      <w:bookmarkStart w:id="88" w:name="_Toc19535_WPSOffice_Level2"/>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r>
        <w:rPr>
          <w:rFonts w:hint="eastAsia" w:ascii="仿宋_GB2312" w:hAnsi="ˎ̥" w:eastAsia="仿宋_GB2312" w:cs="Times New Roman"/>
          <w:sz w:val="32"/>
          <w:szCs w:val="32"/>
          <w:lang w:val="en-US" w:eastAsia="zh-CN"/>
        </w:rPr>
        <w:t>增加179.39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增加29.72</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工资福利支出增加，社保基数提高</w:t>
      </w:r>
      <w:r>
        <w:rPr>
          <w:rFonts w:hint="eastAsia" w:ascii="仿宋_GB2312" w:hAnsi="ˎ̥" w:eastAsia="仿宋_GB2312" w:cs="仿宋_GB2312"/>
          <w:sz w:val="32"/>
          <w:szCs w:val="32"/>
          <w:highlight w:val="none"/>
          <w:lang w:eastAsia="zh-CN"/>
        </w:rPr>
        <w:t>。</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（二）一般公共预算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财政拨款支出决算结构情况</w:t>
      </w:r>
      <w:bookmarkEnd w:id="83"/>
      <w:bookmarkEnd w:id="84"/>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bookmarkEnd w:id="85"/>
      <w:bookmarkEnd w:id="86"/>
      <w:bookmarkEnd w:id="87"/>
      <w:bookmarkEnd w:id="88"/>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一般公共预算财政拨款支出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万元，主要用于以下方面：</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教育支出</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750.55</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95.87</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社会保障和就业（类）</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17.1</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2.18</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b/>
          <w:bCs/>
          <w:color w:val="0D0D0D" w:themeColor="text1" w:themeTint="F2"/>
          <w:sz w:val="32"/>
          <w:szCs w:val="32"/>
          <w:u w:color="000000" w:themeColor="text1"/>
          <w:lang w:eastAsia="zh-CN"/>
          <w14:textFill>
            <w14:solidFill>
              <w14:schemeClr w14:val="tx1">
                <w14:lumMod w14:val="95000"/>
                <w14:lumOff w14:val="5000"/>
              </w14:schemeClr>
            </w14:solidFill>
          </w14:textFill>
        </w:rPr>
        <w:t>卫生健康</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9.01万元，</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1.15</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w:t>
      </w:r>
      <w:r>
        <w:rPr>
          <w:rFonts w:hint="eastAsia" w:ascii="仿宋_GB2312" w:hAnsi="ˎ̥" w:eastAsia="仿宋_GB2312"/>
          <w:b/>
          <w:bCs/>
          <w:color w:val="0D0D0D" w:themeColor="text1" w:themeTint="F2"/>
          <w:sz w:val="32"/>
          <w:szCs w:val="32"/>
          <w:u w:color="000000" w:themeColor="text1"/>
          <w:lang w:val="en-US" w:eastAsia="zh-CN"/>
          <w14:textFill>
            <w14:solidFill>
              <w14:schemeClr w14:val="tx1">
                <w14:lumMod w14:val="95000"/>
                <w14:lumOff w14:val="5000"/>
              </w14:schemeClr>
            </w14:solidFill>
          </w14:textFill>
        </w:rPr>
        <w:t>住房保障（类）</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6.23</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0.8</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pPr>
      <w:bookmarkStart w:id="89" w:name="_Toc25136_WPSOffice_Level2"/>
      <w:bookmarkStart w:id="90" w:name="_Toc9502_WPSOffice_Level2"/>
      <w:bookmarkStart w:id="91" w:name="_Toc22318_WPSOffice_Level2"/>
      <w:bookmarkStart w:id="92" w:name="_Toc29364_WPSOffice_Level2"/>
      <w:bookmarkStart w:id="93" w:name="_Toc21701_WPSOffice_Level2"/>
      <w:bookmarkStart w:id="94" w:name="_Toc15415_WPSOffice_Level2"/>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（三）一般公共预算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年度一般公共预算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财政拨款支出年初</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预算为</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787.83</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出决算为</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787.83</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100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%。其中：</w:t>
      </w:r>
    </w:p>
    <w:p>
      <w:pPr>
        <w:ind w:firstLine="640" w:firstLineChars="200"/>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教育支出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（类）</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普通教育</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（款）</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学前教育</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（项）。</w:t>
      </w:r>
    </w:p>
    <w:p>
      <w:pPr>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782.89</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100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%。决算数</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等于</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预算数的主要原因：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项目支出无变化。</w:t>
      </w:r>
    </w:p>
    <w:p>
      <w:pPr>
        <w:ind w:firstLine="640" w:firstLineChars="200"/>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2.</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社会保障和就业支出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（类）</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行政事业单位养老支出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（款）</w:t>
      </w: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机关事业单位基本养老保险缴费支出、机关事业单位职业年金缴费支出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（项）。</w:t>
      </w:r>
    </w:p>
    <w:p>
      <w:pPr>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17.1</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17.1</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100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%。决算数</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等于</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预算数的主要原因：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项目支出无变化。</w:t>
      </w:r>
    </w:p>
    <w:p>
      <w:pPr>
        <w:numPr>
          <w:ilvl w:val="0"/>
          <w:numId w:val="2"/>
        </w:numPr>
        <w:ind w:firstLine="643" w:firstLineChars="200"/>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卫生健康支出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（类）</w:t>
      </w:r>
    </w:p>
    <w:p>
      <w:pPr>
        <w:numPr>
          <w:ilvl w:val="0"/>
          <w:numId w:val="0"/>
        </w:numPr>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9.01</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9.01</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100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%。决算数</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等于</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预算数的主要原因：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项目支出无变化。</w:t>
      </w:r>
    </w:p>
    <w:p>
      <w:pPr>
        <w:numPr>
          <w:ilvl w:val="0"/>
          <w:numId w:val="2"/>
        </w:numPr>
        <w:ind w:left="0" w:leftChars="0" w:firstLine="643" w:firstLineChars="200"/>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住房保障支出</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（类）</w:t>
      </w:r>
    </w:p>
    <w:p>
      <w:pPr>
        <w:numPr>
          <w:ilvl w:val="0"/>
          <w:numId w:val="0"/>
        </w:num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6.23</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6.23</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100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%。决算数</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等于</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预算数的主要原因：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项目支出无变化。</w:t>
      </w:r>
    </w:p>
    <w:p>
      <w:pPr>
        <w:ind w:firstLine="627" w:firstLineChars="196"/>
        <w:rPr>
          <w:rFonts w:hint="eastAsia" w:ascii="黑体" w:hAnsi="黑体" w:eastAsia="黑体" w:cs="黑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六、</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一般公共预算财政拨款基本支出决算情况说明</w:t>
      </w: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tabs>
          <w:tab w:val="center" w:pos="4473"/>
        </w:tabs>
        <w:ind w:firstLine="640" w:firstLineChars="200"/>
        <w:rPr>
          <w:rFonts w:hint="eastAsia" w:ascii="仿宋_GB2312" w:hAnsi="ˎ̥" w:eastAsia="仿宋_GB2312"/>
          <w:color w:val="0D0D0D" w:themeColor="text1" w:themeTint="F2"/>
          <w:sz w:val="32"/>
          <w:szCs w:val="32"/>
          <w:highlight w:val="yellow"/>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财政拨款基本支出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92.45</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万元，其中：人员经费</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90.80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万元，主要包括：</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工资福利支出中的</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基本工资、津贴补贴、奖金、伙食补助费、绩效工资、</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机关事业单位基本养老保险缴费、职业年金缴费、职工基本医疗保险缴费、公务员医疗补助缴费、其他社会保障缴费、住房公积金、医疗费、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其他工资福利支出</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；对个人和家庭的补助中的</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离休费、退休费、退职（役</w:t>
      </w:r>
      <w:bookmarkStart w:id="119" w:name="_GoBack"/>
      <w:bookmarkEnd w:id="119"/>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）费、抚恤金、生活补助、救济费、医疗费</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补助</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、助学金、奖励金、</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个人农业</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生产补贴、</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代缴社会保险费、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其他对个人和家庭的补助。公用经费</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1.65</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万元，主要包括：</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商品和服务支出中的</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tabs>
          <w:tab w:val="center" w:pos="4473"/>
        </w:tabs>
        <w:ind w:firstLine="627" w:firstLineChars="196"/>
        <w:rPr>
          <w:rFonts w:hint="eastAsia" w:ascii="黑体" w:hAnsi="黑体" w:eastAsia="黑体" w:cs="黑体"/>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u w:color="000000" w:themeColor="text1"/>
          <w:lang w:eastAsia="zh-CN"/>
          <w14:textFill>
            <w14:solidFill>
              <w14:schemeClr w14:val="tx1">
                <w14:lumMod w14:val="95000"/>
                <w14:lumOff w14:val="5000"/>
              </w14:schemeClr>
            </w14:solidFill>
          </w14:textFill>
        </w:rPr>
        <w:t>七、政府性基金预算财政拨款支出决算情况说明</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（一）</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政府性基金</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预算财政拨款支出决算总体情况</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年度政府性基金</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万元，占本年支出合计的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%。与</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22</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相比，</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政府性基金预算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财政拨款支出增加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万元，增长</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，主要原因是</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没有政府性基金支出</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（二）政府性基金预算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财政拨款支出决算结构情况</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highlight w:val="yellow"/>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年度政府性基金</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预算财政拨款支出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0" w:firstLineChars="200"/>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（三）政府性基金预算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财政拨款支出决算具体情况。</w:t>
      </w:r>
    </w:p>
    <w:p>
      <w:pPr>
        <w:ind w:firstLine="640" w:firstLineChars="200"/>
        <w:rPr>
          <w:rFonts w:hint="eastAsia" w:ascii="仿宋_GB2312" w:hAnsi="ˎ̥" w:eastAsia="仿宋_GB2312" w:cs="Times New Roman"/>
          <w:bCs w:val="0"/>
          <w:color w:val="0D0D0D" w:themeColor="text1" w:themeTint="F2"/>
          <w:sz w:val="32"/>
          <w:szCs w:val="32"/>
          <w:highlight w:val="yellow"/>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年度政府性基金预算财政拨款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tabs>
          <w:tab w:val="center" w:pos="4473"/>
        </w:tabs>
        <w:ind w:firstLine="627" w:firstLineChars="196"/>
        <w:rPr>
          <w:rFonts w:hint="eastAsia" w:ascii="黑体" w:hAnsi="黑体" w:eastAsia="黑体" w:cs="黑体"/>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u w:color="000000" w:themeColor="text1"/>
          <w:lang w:eastAsia="zh-CN"/>
          <w14:textFill>
            <w14:solidFill>
              <w14:schemeClr w14:val="tx1">
                <w14:lumMod w14:val="95000"/>
                <w14:lumOff w14:val="5000"/>
              </w14:schemeClr>
            </w14:solidFill>
          </w14:textFill>
        </w:rPr>
        <w:t>八、国有资本经营预算财政拨款支出决算情况说明</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（一）</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国有资本经营预算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财政拨款支出决算总体情况</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年度国有资本经营预算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万元，占本年支出合计的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%。与</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22</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相比，</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国有资本经营预算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财政拨款支出增加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万元，增长</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，主要原因是</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没有国产资本经营支出</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（二）国有资本经营预算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财政拨款支出决算结构情况</w:t>
      </w:r>
      <w:r>
        <w:rPr>
          <w:rFonts w:hint="eastAsia" w:ascii="楷体" w:hAnsi="楷体" w:eastAsia="楷体" w:cs="楷体"/>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年度国有资本经营预算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p>
    <w:p>
      <w:pPr>
        <w:ind w:firstLine="640" w:firstLineChars="200"/>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u w:color="000000" w:themeColor="text1"/>
          <w:lang w:val="en-US" w:eastAsia="zh-CN"/>
          <w14:textFill>
            <w14:solidFill>
              <w14:schemeClr w14:val="tx1">
                <w14:lumMod w14:val="95000"/>
                <w14:lumOff w14:val="5000"/>
              </w14:schemeClr>
            </w14:solidFill>
          </w14:textFill>
        </w:rPr>
        <w:t>（三）国有资本经营预算</w:t>
      </w:r>
      <w:r>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t>财政拨款支出决算具体情况。</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年度国有资本经营预算财政拨款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支出年初预算为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万元，完成年初预算的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27" w:firstLineChars="196"/>
        <w:rPr>
          <w:rFonts w:hint="eastAsia" w:ascii="仿宋_GB2312" w:hAnsi="ˎ̥" w:eastAsia="楷体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九、</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一般公共预算财政拨款“三公”经费支出决算情况说明</w:t>
      </w:r>
    </w:p>
    <w:p>
      <w:pPr>
        <w:ind w:firstLine="643" w:firstLineChars="200"/>
        <w:rPr>
          <w:rFonts w:hint="eastAsia" w:ascii="楷体" w:hAnsi="楷体" w:eastAsia="楷体" w:cs="楷体"/>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楷体" w:hAnsi="楷体" w:eastAsia="楷体" w:cs="楷体"/>
          <w:b/>
          <w:color w:val="0D0D0D" w:themeColor="text1" w:themeTint="F2"/>
          <w:sz w:val="32"/>
          <w:szCs w:val="32"/>
          <w:u w:color="000000" w:themeColor="text1"/>
          <w:lang w:val="en-US" w:eastAsia="zh-CN"/>
          <w14:textFill>
            <w14:solidFill>
              <w14:schemeClr w14:val="tx1">
                <w14:lumMod w14:val="95000"/>
                <w14:lumOff w14:val="5000"/>
              </w14:schemeClr>
            </w14:solidFill>
          </w14:textFill>
        </w:rPr>
        <w:t>一般公共预算</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财政拨款“三公”经费支出决算总体情况说明。</w:t>
      </w:r>
    </w:p>
    <w:p>
      <w:pP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一般公共预算财政拨款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“三公”经费支出预算为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万元，支出决算为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万元，完成预算的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rPr>
          <w:rFonts w:hint="eastAsia" w:ascii="楷体" w:hAnsi="楷体" w:eastAsia="楷体" w:cs="楷体"/>
          <w:b/>
          <w:bCs/>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b/>
          <w:bCs/>
          <w:color w:val="0D0D0D" w:themeColor="text1" w:themeTint="F2"/>
          <w:sz w:val="32"/>
          <w:szCs w:val="32"/>
          <w:u w:color="000000" w:themeColor="text1"/>
          <w14:textFill>
            <w14:solidFill>
              <w14:schemeClr w14:val="tx1">
                <w14:lumMod w14:val="95000"/>
                <w14:lumOff w14:val="5000"/>
              </w14:schemeClr>
            </w14:solidFill>
          </w14:textFill>
        </w:rPr>
        <w:t xml:space="preserve">  </w:t>
      </w:r>
      <w:r>
        <w:rPr>
          <w:rFonts w:hint="eastAsia" w:ascii="楷体" w:hAnsi="楷体" w:eastAsia="楷体" w:cs="楷体"/>
          <w:b/>
          <w:bCs/>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楷体" w:hAnsi="楷体" w:eastAsia="楷体" w:cs="楷体"/>
          <w:b/>
          <w:bCs/>
          <w:color w:val="0D0D0D" w:themeColor="text1" w:themeTint="F2"/>
          <w:sz w:val="32"/>
          <w:szCs w:val="32"/>
          <w:u w:color="000000" w:themeColor="text1"/>
          <w:lang w:eastAsia="zh-CN"/>
          <w14:textFill>
            <w14:solidFill>
              <w14:schemeClr w14:val="tx1">
                <w14:lumMod w14:val="95000"/>
                <w14:lumOff w14:val="5000"/>
              </w14:schemeClr>
            </w14:solidFill>
          </w14:textFill>
        </w:rPr>
        <w:t>（二）一般公共预算</w:t>
      </w:r>
      <w:r>
        <w:rPr>
          <w:rFonts w:hint="eastAsia" w:ascii="楷体" w:hAnsi="楷体" w:eastAsia="楷体" w:cs="楷体"/>
          <w:b/>
          <w:bCs/>
          <w:color w:val="0D0D0D" w:themeColor="text1" w:themeTint="F2"/>
          <w:sz w:val="32"/>
          <w:szCs w:val="32"/>
          <w:u w:color="000000" w:themeColor="text1"/>
          <w14:textFill>
            <w14:solidFill>
              <w14:schemeClr w14:val="tx1">
                <w14:lumMod w14:val="95000"/>
                <w14:lumOff w14:val="5000"/>
              </w14:schemeClr>
            </w14:solidFill>
          </w14:textFill>
        </w:rPr>
        <w:t>财政拨款“三公”经费支出决算具体情况说明。</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一般公共预算财政拨款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“三公”经费支出决算中，因公出国（境）费支出决算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%；公务用车购置及运行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%；公务接待费支出决算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%。具体情况如下：</w:t>
      </w:r>
    </w:p>
    <w:p>
      <w:pPr>
        <w:ind w:firstLine="643"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1.</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因公出国（境）费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万元。全年安排因公出国（境）团组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个，因公出国（境）</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人次。</w:t>
      </w:r>
    </w:p>
    <w:p>
      <w:pPr>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因公出国（境）费支出决算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比预算数增加0万元，增长0%。本年决算数较上年增加0万元，增长0%。</w:t>
      </w:r>
    </w:p>
    <w:p>
      <w:pPr>
        <w:numPr>
          <w:ilvl w:val="0"/>
          <w:numId w:val="0"/>
        </w:numPr>
        <w:ind w:firstLine="0" w:firstLineChars="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2.</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公务用车购置及运行</w:t>
      </w:r>
      <w:r>
        <w:rPr>
          <w:rFonts w:hint="eastAsia" w:ascii="仿宋_GB2312" w:hAnsi="ˎ̥" w:eastAsia="仿宋_GB2312"/>
          <w:b/>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费支出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万元。其中：</w:t>
      </w:r>
    </w:p>
    <w:p>
      <w:pPr>
        <w:numPr>
          <w:ilvl w:val="0"/>
          <w:numId w:val="0"/>
        </w:numPr>
        <w:ind w:firstLine="643"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公务用车购置支出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万元，全年购置公务用车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辆，年末公务用车保有量</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p>
    <w:p>
      <w:pPr>
        <w:numPr>
          <w:ilvl w:val="0"/>
          <w:numId w:val="0"/>
        </w:numPr>
        <w:ind w:firstLine="643"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公务用车运行</w:t>
      </w:r>
      <w:r>
        <w:rPr>
          <w:rFonts w:hint="eastAsia" w:ascii="仿宋_GB2312" w:hAnsi="ˎ̥" w:eastAsia="仿宋_GB2312"/>
          <w:b/>
          <w:color w:val="0D0D0D" w:themeColor="text1" w:themeTint="F2"/>
          <w:sz w:val="32"/>
          <w:szCs w:val="32"/>
          <w:u w:color="000000" w:themeColor="text1"/>
          <w:lang w:eastAsia="zh-CN"/>
          <w14:textFill>
            <w14:solidFill>
              <w14:schemeClr w14:val="tx1">
                <w14:lumMod w14:val="95000"/>
                <w14:lumOff w14:val="5000"/>
              </w14:schemeClr>
            </w14:solidFill>
          </w14:textFill>
        </w:rPr>
        <w:t>维护费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p>
    <w:p>
      <w:pPr>
        <w:ind w:firstLine="640" w:firstLineChars="200"/>
        <w:rPr>
          <w:rFonts w:hint="eastAsia" w:ascii="仿宋_GB2312" w:hAnsi="ˎ̥" w:eastAsia="仿宋_GB2312"/>
          <w:b w:val="0"/>
          <w:bCs/>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b w:val="0"/>
          <w:bCs/>
          <w:color w:val="0D0D0D" w:themeColor="text1" w:themeTint="F2"/>
          <w:sz w:val="32"/>
          <w:szCs w:val="32"/>
          <w:u w:color="000000" w:themeColor="text1"/>
          <w14:textFill>
            <w14:solidFill>
              <w14:schemeClr w14:val="tx1">
                <w14:lumMod w14:val="95000"/>
                <w14:lumOff w14:val="5000"/>
              </w14:schemeClr>
            </w14:solidFill>
          </w14:textFill>
        </w:rPr>
        <w:t>公务用车购置及运行费支出</w:t>
      </w:r>
      <w:r>
        <w:rPr>
          <w:rFonts w:hint="eastAsia" w:ascii="仿宋_GB2312" w:hAnsi="ˎ̥" w:eastAsia="仿宋_GB2312"/>
          <w:b w:val="0"/>
          <w:bCs/>
          <w:color w:val="0D0D0D" w:themeColor="text1" w:themeTint="F2"/>
          <w:sz w:val="32"/>
          <w:szCs w:val="32"/>
          <w:u w:color="000000" w:themeColor="text1"/>
          <w:lang w:val="en-US" w:eastAsia="zh-CN"/>
          <w14:textFill>
            <w14:solidFill>
              <w14:schemeClr w14:val="tx1">
                <w14:lumMod w14:val="95000"/>
                <w14:lumOff w14:val="5000"/>
              </w14:schemeClr>
            </w14:solidFill>
          </w14:textFill>
        </w:rPr>
        <w:t>决算数</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比预算数增加0万元，增长0%。本年决算数较上年增加0万元，增长0%。</w:t>
      </w:r>
    </w:p>
    <w:p>
      <w:pPr>
        <w:numPr>
          <w:ilvl w:val="0"/>
          <w:numId w:val="0"/>
        </w:numPr>
        <w:ind w:left="0" w:leftChars="0" w:firstLine="0" w:firstLineChars="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3.</w:t>
      </w:r>
      <w:r>
        <w:rPr>
          <w:rFonts w:hint="eastAsia" w:ascii="仿宋_GB2312" w:hAnsi="ˎ̥" w:eastAsia="仿宋_GB2312"/>
          <w:b/>
          <w:color w:val="0D0D0D" w:themeColor="text1" w:themeTint="F2"/>
          <w:sz w:val="32"/>
          <w:szCs w:val="32"/>
          <w:u w:color="000000" w:themeColor="text1"/>
          <w14:textFill>
            <w14:solidFill>
              <w14:schemeClr w14:val="tx1">
                <w14:lumMod w14:val="95000"/>
                <w14:lumOff w14:val="5000"/>
              </w14:schemeClr>
            </w14:solidFill>
          </w14:textFill>
        </w:rPr>
        <w:t>公务接待费支出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其中：</w:t>
      </w:r>
    </w:p>
    <w:p>
      <w:pPr>
        <w:numPr>
          <w:ilvl w:val="0"/>
          <w:numId w:val="0"/>
        </w:numPr>
        <w:ind w:left="0" w:leftChars="0" w:firstLine="643"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b/>
          <w:color w:val="0D0D0D" w:themeColor="text1" w:themeTint="F2"/>
          <w:sz w:val="32"/>
          <w:szCs w:val="32"/>
          <w:u w:color="000000" w:themeColor="text1"/>
          <w:lang w:eastAsia="zh-CN"/>
          <w14:textFill>
            <w14:solidFill>
              <w14:schemeClr w14:val="tx1">
                <w14:lumMod w14:val="95000"/>
                <w14:lumOff w14:val="5000"/>
              </w14:schemeClr>
            </w14:solidFill>
          </w14:textFill>
        </w:rPr>
        <w:t>国内接待费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国内公务接待</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批次，接待</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人次</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numPr>
          <w:ilvl w:val="0"/>
          <w:numId w:val="0"/>
        </w:numPr>
        <w:ind w:left="0" w:leftChars="0"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国（境）外接待费</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支出</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国（境）外公务接待</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批次</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，接待</w:t>
      </w: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人次。</w:t>
      </w:r>
    </w:p>
    <w:p>
      <w:pPr>
        <w:numPr>
          <w:ilvl w:val="0"/>
          <w:numId w:val="0"/>
        </w:numPr>
        <w:ind w:left="0" w:leftChars="0"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highlight w:val="none"/>
          <w:u w:color="000000" w:themeColor="text1"/>
          <w:lang w:val="en-US" w:eastAsia="zh-CN"/>
          <w14:textFill>
            <w14:solidFill>
              <w14:schemeClr w14:val="tx1">
                <w14:lumMod w14:val="95000"/>
                <w14:lumOff w14:val="5000"/>
              </w14:schemeClr>
            </w14:solidFill>
          </w14:textFill>
        </w:rPr>
        <w:t>公务接待费支出决算数比预算数增加0万元，增长0%。</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本年决算数较上年增加0万元，增长0%。</w:t>
      </w:r>
    </w:p>
    <w:p>
      <w:pPr>
        <w:ind w:firstLine="627" w:firstLineChars="196"/>
        <w:rPr>
          <w:rFonts w:hint="eastAsia" w:ascii="仿宋_GB2312" w:hAnsi="ˎ̥" w:eastAsia="楷体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u w:color="000000" w:themeColor="text1"/>
          <w:lang w:val="en-US" w:eastAsia="zh-CN"/>
          <w14:textFill>
            <w14:solidFill>
              <w14:schemeClr w14:val="tx1">
                <w14:lumMod w14:val="95000"/>
                <w14:lumOff w14:val="5000"/>
              </w14:schemeClr>
            </w14:solidFill>
          </w14:textFill>
        </w:rPr>
        <w:t>十、</w:t>
      </w: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政府性基金</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预算财政拨款“三公”经费支出决算情况说明</w:t>
      </w:r>
    </w:p>
    <w:p>
      <w:pPr>
        <w:numPr>
          <w:ilvl w:val="0"/>
          <w:numId w:val="0"/>
        </w:numPr>
        <w:ind w:left="0" w:leftChars="0"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政府性基金预算财政拨款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“三公”经费支出</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合计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。其中：</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因公出国（境）费支出决算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%；公务用车购置及运行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%；公务接待费支出决算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27" w:firstLineChars="196"/>
        <w:rPr>
          <w:rFonts w:hint="eastAsia" w:ascii="仿宋_GB2312" w:hAnsi="ˎ̥" w:eastAsia="楷体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Cs/>
          <w:color w:val="0D0D0D" w:themeColor="text1" w:themeTint="F2"/>
          <w:sz w:val="32"/>
          <w:szCs w:val="32"/>
          <w:u w:color="000000" w:themeColor="text1"/>
          <w:lang w:val="en-US" w:eastAsia="zh-CN"/>
          <w14:textFill>
            <w14:solidFill>
              <w14:schemeClr w14:val="tx1">
                <w14:lumMod w14:val="95000"/>
                <w14:lumOff w14:val="5000"/>
              </w14:schemeClr>
            </w14:solidFill>
          </w14:textFill>
        </w:rPr>
        <w:t>十一、</w:t>
      </w: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国有资本经营</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预算财政拨款“三公”经费支出决算情况说明</w:t>
      </w:r>
    </w:p>
    <w:p>
      <w:pPr>
        <w:numPr>
          <w:ilvl w:val="0"/>
          <w:numId w:val="0"/>
        </w:numPr>
        <w:ind w:left="0" w:leftChars="0"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国有资本经营预算财政拨款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“三公”经费支出</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合计</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。其中：</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因公出国（境）费支出决算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%；公务用车购置及运行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%；公务接待费支出决算</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十二、</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预算绩效情况说明</w:t>
      </w: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spacing w:line="578" w:lineRule="exact"/>
        <w:ind w:firstLine="643" w:firstLineChars="200"/>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绩效管理工作开展情况。</w:t>
      </w:r>
    </w:p>
    <w:p>
      <w:pPr>
        <w:spacing w:line="578" w:lineRule="exact"/>
        <w:ind w:firstLine="960" w:firstLineChars="30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无</w:t>
      </w:r>
    </w:p>
    <w:p>
      <w:pPr>
        <w:spacing w:line="578" w:lineRule="exact"/>
        <w:ind w:firstLine="643" w:firstLineChars="200"/>
        <w:rPr>
          <w:rFonts w:hint="default" w:ascii="楷体" w:hAnsi="楷体" w:eastAsia="楷体" w:cs="楷体"/>
          <w:b/>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部门决算中项目绩效自评结果</w:t>
      </w:r>
    </w:p>
    <w:p>
      <w:pPr>
        <w:spacing w:line="578" w:lineRule="exact"/>
        <w:ind w:firstLine="960" w:firstLineChars="300"/>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32"/>
          <w:szCs w:val="32"/>
          <w:u w:color="000000" w:themeColor="text1"/>
          <w:lang w:val="en-US" w:eastAsia="zh-CN"/>
          <w14:textFill>
            <w14:solidFill>
              <w14:schemeClr w14:val="tx1">
                <w14:lumMod w14:val="95000"/>
                <w14:lumOff w14:val="5000"/>
              </w14:schemeClr>
            </w14:solidFill>
          </w14:textFill>
        </w:rPr>
        <w:t>无</w:t>
      </w:r>
    </w:p>
    <w:p>
      <w:pPr>
        <w:spacing w:line="578" w:lineRule="exact"/>
        <w:ind w:firstLine="643" w:firstLineChars="200"/>
        <w:rPr>
          <w:rFonts w:hint="eastAsia" w:ascii="楷体" w:hAnsi="楷体" w:eastAsia="楷体" w:cs="楷体"/>
          <w:b/>
          <w:bCs w:val="0"/>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楷体" w:hAnsi="楷体" w:eastAsia="楷体" w:cs="楷体"/>
          <w:b/>
          <w:bCs w:val="0"/>
          <w:color w:val="0D0D0D" w:themeColor="text1" w:themeTint="F2"/>
          <w:sz w:val="32"/>
          <w:szCs w:val="32"/>
          <w:u w:color="000000" w:themeColor="text1"/>
          <w:lang w:eastAsia="zh-CN"/>
          <w14:textFill>
            <w14:solidFill>
              <w14:schemeClr w14:val="tx1">
                <w14:lumMod w14:val="95000"/>
                <w14:lumOff w14:val="5000"/>
              </w14:schemeClr>
            </w14:solidFill>
          </w14:textFill>
        </w:rPr>
        <w:t>财政评价项目绩效评价结果</w:t>
      </w:r>
      <w:r>
        <w:rPr>
          <w:rFonts w:hint="eastAsia" w:ascii="楷体" w:hAnsi="楷体" w:eastAsia="楷体" w:cs="楷体"/>
          <w:b/>
          <w:bCs w:val="0"/>
          <w:color w:val="0D0D0D" w:themeColor="text1" w:themeTint="F2"/>
          <w:sz w:val="32"/>
          <w:szCs w:val="32"/>
          <w:u w:color="000000" w:themeColor="text1"/>
          <w14:textFill>
            <w14:solidFill>
              <w14:schemeClr w14:val="tx1">
                <w14:lumMod w14:val="95000"/>
                <w14:lumOff w14:val="5000"/>
              </w14:schemeClr>
            </w14:solidFill>
          </w14:textFill>
        </w:rPr>
        <w:t>。</w:t>
      </w:r>
    </w:p>
    <w:p>
      <w:pPr>
        <w:spacing w:line="578" w:lineRule="exact"/>
        <w:ind w:firstLine="960" w:firstLineChars="300"/>
        <w:rPr>
          <w:rFonts w:hint="eastAsia" w:ascii="仿宋_GB2312"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无</w:t>
      </w:r>
    </w:p>
    <w:p>
      <w:pPr>
        <w:spacing w:line="578" w:lineRule="exact"/>
        <w:ind w:firstLine="643" w:firstLineChars="200"/>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（四）</w:t>
      </w:r>
      <w:r>
        <w:rPr>
          <w:rFonts w:hint="eastAsia" w:ascii="楷体" w:hAnsi="楷体" w:eastAsia="楷体" w:cs="楷体"/>
          <w:b/>
          <w:color w:val="0D0D0D" w:themeColor="text1" w:themeTint="F2"/>
          <w:sz w:val="32"/>
          <w:szCs w:val="32"/>
          <w:u w:color="000000" w:themeColor="text1"/>
          <w:lang w:val="en-US"/>
          <w14:textFill>
            <w14:solidFill>
              <w14:schemeClr w14:val="tx1">
                <w14:lumMod w14:val="95000"/>
                <w14:lumOff w14:val="5000"/>
              </w14:schemeClr>
            </w14:solidFill>
          </w14:textFill>
        </w:rPr>
        <w:t>部门评价项目绩效评价结果</w:t>
      </w:r>
      <w:r>
        <w:rPr>
          <w:rFonts w:hint="eastAsia" w:ascii="楷体" w:hAnsi="楷体" w:eastAsia="楷体" w:cs="楷体"/>
          <w:b/>
          <w:color w:val="0D0D0D" w:themeColor="text1" w:themeTint="F2"/>
          <w:sz w:val="32"/>
          <w:szCs w:val="32"/>
          <w:u w:val="none" w:color="000000" w:themeColor="text1"/>
          <w14:textFill>
            <w14:solidFill>
              <w14:schemeClr w14:val="tx1">
                <w14:lumMod w14:val="95000"/>
                <w14:lumOff w14:val="5000"/>
              </w14:schemeClr>
            </w14:solidFill>
          </w14:textFill>
        </w:rPr>
        <w:t>。</w:t>
      </w:r>
    </w:p>
    <w:p>
      <w:pPr>
        <w:ind w:firstLine="960" w:firstLineChars="300"/>
        <w:rPr>
          <w:rFonts w:hint="eastAsia" w:ascii="仿宋_GB2312"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无</w:t>
      </w:r>
    </w:p>
    <w:p>
      <w:pPr>
        <w:ind w:firstLine="640" w:firstLineChars="200"/>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十三、</w:t>
      </w:r>
      <w:r>
        <w:rPr>
          <w:rFonts w:hint="eastAsia" w:ascii="黑体" w:hAnsi="黑体" w:eastAsia="黑体" w:cs="黑体"/>
          <w:b w:val="0"/>
          <w:bCs/>
          <w:color w:val="0D0D0D" w:themeColor="text1" w:themeTint="F2"/>
          <w:sz w:val="32"/>
          <w:szCs w:val="32"/>
          <w:u w:color="000000" w:themeColor="text1"/>
          <w14:textFill>
            <w14:solidFill>
              <w14:schemeClr w14:val="tx1">
                <w14:lumMod w14:val="95000"/>
                <w14:lumOff w14:val="5000"/>
              </w14:schemeClr>
            </w14:solidFill>
          </w14:textFill>
        </w:rPr>
        <w:t>其他重要事项情况说明</w:t>
      </w:r>
      <w:r>
        <w:rPr>
          <w:rFonts w:hint="eastAsia" w:ascii="黑体" w:hAnsi="黑体" w:eastAsia="黑体" w:cs="黑体"/>
          <w:b w:val="0"/>
          <w:bCs/>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ind w:firstLine="643" w:firstLineChars="200"/>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pPr>
      <w:bookmarkStart w:id="95" w:name="_Toc15262_WPSOffice_Level2"/>
      <w:bookmarkStart w:id="96" w:name="_Toc23598_WPSOffice_Level2"/>
      <w:bookmarkStart w:id="97" w:name="_Toc32639_WPSOffice_Level2"/>
      <w:bookmarkStart w:id="98" w:name="_Toc5978_WPSOffice_Level2"/>
      <w:bookmarkStart w:id="99" w:name="_Toc15565_WPSOffice_Level2"/>
      <w:bookmarkStart w:id="100" w:name="_Toc18325_WPSOffice_Level2"/>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（一）</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机关运行经费支出情况。</w:t>
      </w:r>
      <w:bookmarkEnd w:id="95"/>
      <w:bookmarkEnd w:id="96"/>
      <w:bookmarkEnd w:id="97"/>
      <w:bookmarkEnd w:id="98"/>
      <w:bookmarkEnd w:id="99"/>
      <w:bookmarkEnd w:id="100"/>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三亚市天涯区第三幼儿园</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单位机关运行经费</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万元，比</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年初预算</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增加</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万元，增长</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3" w:firstLineChars="200"/>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pPr>
      <w:bookmarkStart w:id="101" w:name="_Toc13084_WPSOffice_Level2"/>
      <w:bookmarkStart w:id="102" w:name="_Toc3131_WPSOffice_Level2"/>
      <w:bookmarkStart w:id="103" w:name="_Toc25333_WPSOffice_Level2"/>
      <w:bookmarkStart w:id="104" w:name="_Toc23966_WPSOffice_Level2"/>
      <w:bookmarkStart w:id="105" w:name="_Toc32689_WPSOffice_Level2"/>
      <w:bookmarkStart w:id="106" w:name="_Toc30383_WPSOffice_Level2"/>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政府采购支出情况。</w:t>
      </w:r>
      <w:bookmarkEnd w:id="101"/>
      <w:bookmarkEnd w:id="102"/>
      <w:bookmarkEnd w:id="103"/>
      <w:bookmarkEnd w:id="104"/>
      <w:bookmarkEnd w:id="105"/>
      <w:bookmarkEnd w:id="106"/>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三亚市天涯区第三幼儿园</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单位政府采购支出总额</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万元，其中：政府采购货物支出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万元、政府采购工程支出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万元、政府采购服务支出</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万元。授予中小企业合同金额</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万元，占政府采购支出总额的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%，其中：授予小微企业合同金额</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万元，占政府采购支出总额的</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3" w:firstLineChars="200"/>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pPr>
      <w:bookmarkStart w:id="107" w:name="_Toc15129_WPSOffice_Level2"/>
      <w:bookmarkStart w:id="108" w:name="_Toc6016_WPSOffice_Level2"/>
      <w:bookmarkStart w:id="109" w:name="_Toc29584_WPSOffice_Level2"/>
      <w:bookmarkStart w:id="110" w:name="_Toc19989_WPSOffice_Level2"/>
      <w:bookmarkStart w:id="111" w:name="_Toc10902_WPSOffice_Level2"/>
      <w:bookmarkStart w:id="112" w:name="_Toc527_WPSOffice_Level2"/>
      <w:r>
        <w:rPr>
          <w:rFonts w:hint="eastAsia" w:ascii="楷体" w:hAnsi="楷体" w:eastAsia="楷体" w:cs="楷体"/>
          <w:b/>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楷体" w:hAnsi="楷体" w:eastAsia="楷体" w:cs="楷体"/>
          <w:b/>
          <w:color w:val="0D0D0D" w:themeColor="text1" w:themeTint="F2"/>
          <w:sz w:val="32"/>
          <w:szCs w:val="32"/>
          <w:u w:color="000000" w:themeColor="text1"/>
          <w14:textFill>
            <w14:solidFill>
              <w14:schemeClr w14:val="tx1">
                <w14:lumMod w14:val="95000"/>
                <w14:lumOff w14:val="5000"/>
              </w14:schemeClr>
            </w14:solidFill>
          </w14:textFill>
        </w:rPr>
        <w:t>国有资产占用情况。</w:t>
      </w:r>
      <w:bookmarkEnd w:id="107"/>
      <w:bookmarkEnd w:id="108"/>
      <w:bookmarkEnd w:id="109"/>
      <w:bookmarkEnd w:id="110"/>
      <w:bookmarkEnd w:id="111"/>
      <w:bookmarkEnd w:id="112"/>
    </w:p>
    <w:p>
      <w:pPr>
        <w:spacing w:line="578" w:lineRule="exact"/>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截至</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202</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3</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12月31日，</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本部门占用房屋面积0平方米，其中：办公用房0平方米，业务用房0平方米，其他（不含构筑物）0平方米。</w:t>
      </w:r>
    </w:p>
    <w:p>
      <w:pPr>
        <w:spacing w:line="578" w:lineRule="exact"/>
        <w:ind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本部门共有车辆</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辆，其中</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：从车辆种类说明：</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轿车0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越野车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小型载客汽</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大中型载客汽车</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辆、其他</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车型</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；从车辆使用情况说明：副</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部</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（省）</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级</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及以上</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领导用车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主要领导干部用车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机要通信用车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应急保障用车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执法执勤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辆、特种专业技术用车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离退休干部</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辆、其他用车</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辆</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w:t>
      </w:r>
    </w:p>
    <w:p>
      <w:pPr>
        <w:spacing w:line="578" w:lineRule="exact"/>
        <w:ind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单位价值50万元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（含）</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以上通用设备</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台（套），单价100万元</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（含）</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以上专用设备</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台（套）。</w:t>
      </w:r>
    </w:p>
    <w:p>
      <w:pPr>
        <w:spacing w:line="578" w:lineRule="exact"/>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年末在建工程</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0</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万元</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spacing w:line="578" w:lineRule="exact"/>
        <w:ind w:firstLine="640" w:firstLineChars="200"/>
        <w:rPr>
          <w:rFonts w:hint="eastAsia" w:ascii="仿宋_GB2312" w:hAnsi="ˎ̥" w:eastAsia="仿宋_GB2312"/>
          <w:color w:val="0D0D0D" w:themeColor="text1" w:themeTint="F2"/>
          <w:sz w:val="32"/>
          <w:szCs w:val="32"/>
          <w:highlight w:val="yellow"/>
          <w:u w:color="000000" w:themeColor="text1"/>
          <w:lang w:val="en-US" w:eastAsia="zh-CN"/>
          <w14:textFill>
            <w14:solidFill>
              <w14:schemeClr w14:val="tx1">
                <w14:lumMod w14:val="95000"/>
                <w14:lumOff w14:val="5000"/>
              </w14:schemeClr>
            </w14:solidFill>
          </w14:textFill>
        </w:rPr>
      </w:pPr>
    </w:p>
    <w:p>
      <w:pPr>
        <w:spacing w:line="578" w:lineRule="exact"/>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p>
    <w:p>
      <w:pPr>
        <w:spacing w:line="578" w:lineRule="exact"/>
        <w:ind w:firstLine="640" w:firstLineChars="200"/>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bookmarkStart w:id="113" w:name="_Toc11039_WPSOffice_Level1"/>
      <w:bookmarkStart w:id="114" w:name="_Toc17580_WPSOffice_Level1"/>
      <w:bookmarkStart w:id="115" w:name="_Toc15425_WPSOffice_Level1"/>
      <w:bookmarkStart w:id="116" w:name="_Toc8808_WPSOffice_Level1"/>
      <w:bookmarkStart w:id="117" w:name="_Toc4398_WPSOffice_Level1"/>
      <w:bookmarkStart w:id="118" w:name="_Toc8874_WPSOffice_Level1"/>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pPr>
    </w:p>
    <w:p>
      <w:pPr>
        <w:jc w:val="center"/>
        <w:rPr>
          <w:rFonts w:hint="eastAsia" w:ascii="黑体" w:hAnsi="ˎ̥" w:eastAsia="黑体"/>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黑体" w:hAnsi="ˎ̥" w:eastAsia="黑体"/>
          <w:color w:val="0D0D0D" w:themeColor="text1" w:themeTint="F2"/>
          <w:sz w:val="32"/>
          <w:szCs w:val="32"/>
          <w:u w:color="000000" w:themeColor="text1"/>
          <w:lang w:eastAsia="zh-CN"/>
          <w14:textFill>
            <w14:solidFill>
              <w14:schemeClr w14:val="tx1">
                <w14:lumMod w14:val="95000"/>
                <w14:lumOff w14:val="5000"/>
              </w14:schemeClr>
            </w14:solidFill>
          </w14:textFill>
        </w:rPr>
        <w:t>第四部分</w:t>
      </w:r>
      <w:r>
        <w:rPr>
          <w:rFonts w:hint="eastAsia" w:ascii="黑体" w:hAnsi="ˎ̥" w:eastAsia="黑体"/>
          <w:color w:val="0D0D0D" w:themeColor="text1" w:themeTint="F2"/>
          <w:sz w:val="32"/>
          <w:szCs w:val="32"/>
          <w:u w:color="000000" w:themeColor="text1"/>
          <w:lang w:val="en-US" w:eastAsia="zh-CN"/>
          <w14:textFill>
            <w14:solidFill>
              <w14:schemeClr w14:val="tx1">
                <w14:lumMod w14:val="95000"/>
                <w14:lumOff w14:val="5000"/>
              </w14:schemeClr>
            </w14:solidFill>
          </w14:textFill>
        </w:rPr>
        <w:t xml:space="preserve">  </w:t>
      </w:r>
      <w:r>
        <w:rPr>
          <w:rFonts w:hint="eastAsia" w:ascii="黑体" w:hAnsi="ˎ̥" w:eastAsia="黑体"/>
          <w:color w:val="0D0D0D" w:themeColor="text1" w:themeTint="F2"/>
          <w:sz w:val="32"/>
          <w:szCs w:val="32"/>
          <w:u w:color="000000" w:themeColor="text1"/>
          <w14:textFill>
            <w14:solidFill>
              <w14:schemeClr w14:val="tx1">
                <w14:lumMod w14:val="95000"/>
                <w14:lumOff w14:val="5000"/>
              </w14:schemeClr>
            </w14:solidFill>
          </w14:textFill>
        </w:rPr>
        <w:t>名词解释</w:t>
      </w:r>
      <w:bookmarkEnd w:id="113"/>
      <w:bookmarkEnd w:id="114"/>
      <w:bookmarkEnd w:id="115"/>
      <w:bookmarkEnd w:id="116"/>
      <w:bookmarkEnd w:id="117"/>
      <w:bookmarkEnd w:id="118"/>
    </w:p>
    <w:p>
      <w:pPr>
        <w:numPr>
          <w:ilvl w:val="0"/>
          <w:numId w:val="3"/>
        </w:num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财政拨款收入：指</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同</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级</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政府财政部门</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当年拨付的</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各类财政拨款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二、上级补助收入：指事业单位从主管部门和上级单位取得的非财政补助收入。</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事业收入：指事业单位开展专业业务活动及辅助活动取得的收入。</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四、</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经营收入：指事业单位在专业业务活动及其辅助活动之外开展非独立核算经营活动取得的收入。</w:t>
      </w:r>
    </w:p>
    <w:p>
      <w:pPr>
        <w:ind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五、附属单位上缴收入：指事业单位取得附属独立核算单位根据有关规定上缴的收入。</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六、</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其他收入：指除上述“财政拨款收入”“事业收入”</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“上级补助收入”</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“经营收入”</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“附属单位上缴收入”</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等以外的收入。</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七、</w:t>
      </w:r>
      <w:r>
        <w:rPr>
          <w:rFonts w:hint="eastAsia" w:ascii="仿宋_GB2312" w:hAnsi="ˎ̥" w:eastAsia="仿宋_GB2312"/>
          <w:color w:val="0D0D0D" w:themeColor="text1" w:themeTint="F2"/>
          <w:sz w:val="32"/>
          <w:szCs w:val="32"/>
          <w:highlight w:val="none"/>
          <w:u w:color="000000" w:themeColor="text1"/>
          <w:lang w:eastAsia="zh-CN"/>
          <w14:textFill>
            <w14:solidFill>
              <w14:schemeClr w14:val="tx1">
                <w14:lumMod w14:val="95000"/>
                <w14:lumOff w14:val="5000"/>
              </w14:schemeClr>
            </w14:solidFill>
          </w14:textFill>
        </w:rPr>
        <w:t>使用非财政拨款结余</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：指事业单位在当年的“财政拨款收入”“事业收入”“经营收入”“其他收入”</w:t>
      </w:r>
      <w:r>
        <w:rPr>
          <w:rFonts w:hint="eastAsia" w:ascii="仿宋_GB2312" w:hAnsi="ˎ̥" w:eastAsia="仿宋_GB2312"/>
          <w:color w:val="0D0D0D" w:themeColor="text1" w:themeTint="F2"/>
          <w:sz w:val="32"/>
          <w:szCs w:val="32"/>
          <w:highlight w:val="none"/>
          <w:u w:color="000000" w:themeColor="text1"/>
          <w:lang w:eastAsia="zh-CN"/>
          <w14:textFill>
            <w14:solidFill>
              <w14:schemeClr w14:val="tx1">
                <w14:lumMod w14:val="95000"/>
                <w14:lumOff w14:val="5000"/>
              </w14:schemeClr>
            </w14:solidFill>
          </w14:textFill>
        </w:rPr>
        <w:t>等</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不足以安排当年支出的情况下，使</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用以前年度积累的</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非限定用途的非同级财政拨款结余资金弥补本年度收支缺口。</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八、</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年初结转和结余：指以前年度尚未完成、结转到本年按有关规定继续使用的资金。</w:t>
      </w:r>
    </w:p>
    <w:p>
      <w:pPr>
        <w:ind w:firstLine="640" w:firstLineChars="200"/>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highlight w:val="none"/>
          <w:u w:color="000000" w:themeColor="text1"/>
          <w:lang w:eastAsia="zh-CN"/>
          <w14:textFill>
            <w14:solidFill>
              <w14:schemeClr w14:val="tx1">
                <w14:lumMod w14:val="95000"/>
                <w14:lumOff w14:val="5000"/>
              </w14:schemeClr>
            </w14:solidFill>
          </w14:textFill>
        </w:rPr>
        <w:t>九、</w:t>
      </w:r>
      <w:r>
        <w:rPr>
          <w:rFonts w:hint="eastAsia" w:ascii="仿宋_GB2312" w:hAnsi="ˎ̥" w:eastAsia="仿宋_GB2312"/>
          <w:color w:val="0D0D0D" w:themeColor="text1" w:themeTint="F2"/>
          <w:sz w:val="32"/>
          <w:szCs w:val="32"/>
          <w:highlight w:val="none"/>
          <w:u w:color="000000" w:themeColor="text1"/>
          <w14:textFill>
            <w14:solidFill>
              <w14:schemeClr w14:val="tx1">
                <w14:lumMod w14:val="95000"/>
                <w14:lumOff w14:val="5000"/>
              </w14:schemeClr>
            </w14:solidFill>
          </w14:textFill>
        </w:rPr>
        <w:t>结余分配：指</w:t>
      </w:r>
      <w:r>
        <w:rPr>
          <w:rFonts w:hint="eastAsia" w:ascii="仿宋_GB2312" w:hAnsi="ˎ̥" w:eastAsia="仿宋_GB2312"/>
          <w:color w:val="0D0D0D" w:themeColor="text1" w:themeTint="F2"/>
          <w:sz w:val="32"/>
          <w:szCs w:val="32"/>
          <w:highlight w:val="none"/>
          <w:u w:color="000000" w:themeColor="text1"/>
          <w:lang w:eastAsia="zh-CN"/>
          <w14:textFill>
            <w14:solidFill>
              <w14:schemeClr w14:val="tx1">
                <w14:lumMod w14:val="95000"/>
                <w14:lumOff w14:val="5000"/>
              </w14:schemeClr>
            </w14:solidFill>
          </w14:textFill>
        </w:rPr>
        <w:t>事业</w:t>
      </w:r>
      <w:r>
        <w:rPr>
          <w:rFonts w:hint="eastAsia" w:ascii="仿宋_GB2312" w:hAnsi="ˎ̥" w:eastAsia="仿宋_GB2312" w:cs="Times New Roman"/>
          <w:color w:val="0D0D0D" w:themeColor="text1" w:themeTint="F2"/>
          <w:sz w:val="32"/>
          <w:szCs w:val="32"/>
          <w:u w:color="000000" w:themeColor="text1"/>
          <w:lang w:eastAsia="zh-CN"/>
          <w14:textFill>
            <w14:solidFill>
              <w14:schemeClr w14:val="tx1">
                <w14:lumMod w14:val="95000"/>
                <w14:lumOff w14:val="5000"/>
              </w14:schemeClr>
            </w14:solidFill>
          </w14:textFill>
        </w:rPr>
        <w:t>单位缴纳企业所得税以及从非财政拨款结余或经营结余中提取各类结余的情况。</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十、</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年末结转和结余：指本年度或以前年度预算安排、因客观条件发生变化无法按原计划实施，需要延迟到以后年度按有关规定继续使用的资金</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仿宋_GB2312" w:hAnsi="ˎ̥" w:eastAsia="仿宋_GB2312" w:cs="Times New Roman"/>
          <w:color w:val="0D0D0D" w:themeColor="text1" w:themeTint="F2"/>
          <w:sz w:val="32"/>
          <w:szCs w:val="32"/>
          <w:u w:color="000000" w:themeColor="text1"/>
          <w:lang w:eastAsia="zh-CN"/>
          <w14:textFill>
            <w14:solidFill>
              <w14:schemeClr w14:val="tx1">
                <w14:lumMod w14:val="95000"/>
                <w14:lumOff w14:val="5000"/>
              </w14:schemeClr>
            </w14:solidFill>
          </w14:textFill>
        </w:rPr>
        <w:t>不包括事业单位非财政拨款结余和专用结余</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十一、</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基本支出：指为保障机构正常运转、完成日常工作任务而发生的人员支出和公用支出。</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十</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二、</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项目支出：指在基本支出之外为完成特定行政任务和事业发展目标所发生的支出。</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十</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三、</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经营支出：指事业单位在专业业务活动及其辅助活动之外开展非独立核算经营活动发生的支出。</w:t>
      </w:r>
    </w:p>
    <w:p>
      <w:pPr>
        <w:ind w:firstLine="640" w:firstLineChars="200"/>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十</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四、</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“三公”经费：纳入本级财政预决算管理的“三公”经费，是指用一般公共预算财政财政拨款</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、政府性基金</w:t>
      </w:r>
      <w:r>
        <w:rPr>
          <w:rFonts w:hint="eastAsia" w:ascii="仿宋_GB2312" w:hAnsi="ˎ̥" w:eastAsia="仿宋_GB2312" w:cs="Times New Roman"/>
          <w:b w:val="0"/>
          <w:bCs w:val="0"/>
          <w:color w:val="0D0D0D" w:themeColor="text1" w:themeTint="F2"/>
          <w:sz w:val="32"/>
          <w:szCs w:val="32"/>
          <w:u w:color="000000" w:themeColor="text1"/>
          <w14:textFill>
            <w14:solidFill>
              <w14:schemeClr w14:val="tx1">
                <w14:lumMod w14:val="95000"/>
                <w14:lumOff w14:val="5000"/>
              </w14:schemeClr>
            </w14:solidFill>
          </w14:textFill>
        </w:rPr>
        <w:t>预算财政拨款</w:t>
      </w:r>
      <w:r>
        <w:rPr>
          <w:rFonts w:hint="eastAsia" w:ascii="仿宋_GB2312" w:hAnsi="ˎ̥" w:eastAsia="仿宋_GB2312" w:cs="Times New Roman"/>
          <w:b w:val="0"/>
          <w:bCs w:val="0"/>
          <w:color w:val="0D0D0D" w:themeColor="text1" w:themeTint="F2"/>
          <w:sz w:val="32"/>
          <w:szCs w:val="32"/>
          <w:u w:color="000000" w:themeColor="text1"/>
          <w:lang w:eastAsia="zh-CN"/>
          <w14:textFill>
            <w14:solidFill>
              <w14:schemeClr w14:val="tx1">
                <w14:lumMod w14:val="95000"/>
                <w14:lumOff w14:val="5000"/>
              </w14:schemeClr>
            </w14:solidFill>
          </w14:textFill>
        </w:rPr>
        <w:t>及国有资本经营预算财政拨款</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安排的因公出国（境）费、公务用车购置及运行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费和公务接待费。其中，因公出国（境）费反映单位公务出国（境）的国际旅费、国外城市间交通费、住宿费、伙食费、培训费、公杂费等支出；公务用车购置及运行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维护</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费反映单位公务用车车辆购置支出（含车辆购置税</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、牌照费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）及燃料费、维修费、过路过桥费、保险费、安全奖励费用等支出；公务接待费反映单位按规定开支的各类公务接待（含外宾接待）</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费用</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pPr>
        <w:ind w:firstLine="645"/>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pP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十</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五</w:t>
      </w:r>
      <w:r>
        <w:rPr>
          <w:rFonts w:hint="eastAsia" w:ascii="仿宋_GB2312" w:hAnsi="ˎ̥" w:eastAsia="仿宋_GB2312"/>
          <w:color w:val="0D0D0D" w:themeColor="text1" w:themeTint="F2"/>
          <w:sz w:val="32"/>
          <w:szCs w:val="32"/>
          <w:u w:color="000000" w:themeColor="text1"/>
          <w:lang w:val="en-US" w:eastAsia="zh-CN"/>
          <w14:textFill>
            <w14:solidFill>
              <w14:schemeClr w14:val="tx1">
                <w14:lumMod w14:val="95000"/>
                <w14:lumOff w14:val="5000"/>
              </w14:schemeClr>
            </w14:solidFill>
          </w14:textFill>
        </w:rPr>
        <w:t>、</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机关运行经费：为保障行政单位（含参照公务员法管理的事业单位）运行</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使用</w:t>
      </w:r>
      <w:r>
        <w:rPr>
          <w:rFonts w:hint="eastAsia" w:ascii="仿宋_GB2312" w:hAnsi="ˎ̥" w:eastAsia="仿宋_GB2312" w:cs="Times New Roman"/>
          <w:color w:val="0D0D0D" w:themeColor="text1" w:themeTint="F2"/>
          <w:sz w:val="32"/>
          <w:szCs w:val="32"/>
          <w:u w:color="000000" w:themeColor="text1"/>
          <w:lang w:eastAsia="zh-CN"/>
          <w14:textFill>
            <w14:solidFill>
              <w14:schemeClr w14:val="tx1">
                <w14:lumMod w14:val="95000"/>
                <w14:lumOff w14:val="5000"/>
              </w14:schemeClr>
            </w14:solidFill>
          </w14:textFill>
        </w:rPr>
        <w:t>一般公共预算财政拨款安排的基本支出经费</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hAnsi="ˎ̥" w:eastAsia="仿宋_GB2312"/>
          <w:color w:val="0D0D0D" w:themeColor="text1" w:themeTint="F2"/>
          <w:sz w:val="32"/>
          <w:szCs w:val="32"/>
          <w:u w:color="000000" w:themeColor="text1"/>
          <w:lang w:eastAsia="zh-CN"/>
          <w14:textFill>
            <w14:solidFill>
              <w14:schemeClr w14:val="tx1">
                <w14:lumMod w14:val="95000"/>
                <w14:lumOff w14:val="5000"/>
              </w14:schemeClr>
            </w14:solidFill>
          </w14:textFill>
        </w:rPr>
        <w:t>等</w:t>
      </w:r>
      <w:r>
        <w:rPr>
          <w:rFonts w:hint="eastAsia" w:ascii="仿宋_GB2312" w:hAnsi="ˎ̥" w:eastAsia="仿宋_GB2312"/>
          <w:color w:val="0D0D0D" w:themeColor="text1" w:themeTint="F2"/>
          <w:sz w:val="32"/>
          <w:szCs w:val="32"/>
          <w:u w:color="000000" w:themeColor="text1"/>
          <w14:textFill>
            <w14:solidFill>
              <w14:schemeClr w14:val="tx1">
                <w14:lumMod w14:val="95000"/>
                <w14:lumOff w14:val="5000"/>
              </w14:schemeClr>
            </w14:solidFill>
          </w14:textFill>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swiss"/>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E17B5E0E"/>
    <w:multiLevelType w:val="singleLevel"/>
    <w:tmpl w:val="E17B5E0E"/>
    <w:lvl w:ilvl="0" w:tentative="0">
      <w:start w:val="3"/>
      <w:numFmt w:val="decimal"/>
      <w:lvlText w:val="%1."/>
      <w:lvlJc w:val="left"/>
      <w:pPr>
        <w:tabs>
          <w:tab w:val="left" w:pos="312"/>
        </w:tabs>
      </w:p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YzBkZGM2MjNjZTA5ZWY0MDQ3MWU4OGE1ZWVlNDUifQ=="/>
  </w:docVars>
  <w:rsids>
    <w:rsidRoot w:val="440F6068"/>
    <w:rsid w:val="001A7BD6"/>
    <w:rsid w:val="0143277A"/>
    <w:rsid w:val="023074BA"/>
    <w:rsid w:val="02E23046"/>
    <w:rsid w:val="06432B98"/>
    <w:rsid w:val="06EB1ECA"/>
    <w:rsid w:val="08063B73"/>
    <w:rsid w:val="0BD04822"/>
    <w:rsid w:val="0CB46CAD"/>
    <w:rsid w:val="0F407E12"/>
    <w:rsid w:val="0F6459AD"/>
    <w:rsid w:val="0FAA3C2A"/>
    <w:rsid w:val="106670EE"/>
    <w:rsid w:val="10870FDC"/>
    <w:rsid w:val="109069D0"/>
    <w:rsid w:val="113656BA"/>
    <w:rsid w:val="124C0321"/>
    <w:rsid w:val="12883907"/>
    <w:rsid w:val="12AE3D10"/>
    <w:rsid w:val="13B13835"/>
    <w:rsid w:val="16130EDB"/>
    <w:rsid w:val="18D864BB"/>
    <w:rsid w:val="18FF248E"/>
    <w:rsid w:val="198C1DA4"/>
    <w:rsid w:val="1A134258"/>
    <w:rsid w:val="1AA912DD"/>
    <w:rsid w:val="1C196AEA"/>
    <w:rsid w:val="1C754B82"/>
    <w:rsid w:val="1CAC1834"/>
    <w:rsid w:val="1CF00FED"/>
    <w:rsid w:val="1EDA6DEF"/>
    <w:rsid w:val="1F1572E5"/>
    <w:rsid w:val="1F275C8F"/>
    <w:rsid w:val="1FE75396"/>
    <w:rsid w:val="209C39D5"/>
    <w:rsid w:val="252C1E57"/>
    <w:rsid w:val="27274C47"/>
    <w:rsid w:val="2A3E4EAF"/>
    <w:rsid w:val="2ABC65F4"/>
    <w:rsid w:val="2ABC7C7F"/>
    <w:rsid w:val="2B370D8D"/>
    <w:rsid w:val="2BA246DE"/>
    <w:rsid w:val="2BD359EB"/>
    <w:rsid w:val="2BF7234C"/>
    <w:rsid w:val="2CB93D2B"/>
    <w:rsid w:val="2DD64D2A"/>
    <w:rsid w:val="2E462532"/>
    <w:rsid w:val="2E884DBD"/>
    <w:rsid w:val="2F540B64"/>
    <w:rsid w:val="30F070D0"/>
    <w:rsid w:val="31802580"/>
    <w:rsid w:val="325953A6"/>
    <w:rsid w:val="333D17BD"/>
    <w:rsid w:val="355C2FFE"/>
    <w:rsid w:val="360A1E3C"/>
    <w:rsid w:val="374322A8"/>
    <w:rsid w:val="377502EF"/>
    <w:rsid w:val="379F13B2"/>
    <w:rsid w:val="38636C29"/>
    <w:rsid w:val="389F5954"/>
    <w:rsid w:val="3AA55ABE"/>
    <w:rsid w:val="3C395948"/>
    <w:rsid w:val="3CE533DA"/>
    <w:rsid w:val="3D6209C4"/>
    <w:rsid w:val="3DD70A30"/>
    <w:rsid w:val="3E5A7DF8"/>
    <w:rsid w:val="3E6A04B7"/>
    <w:rsid w:val="3FC921FE"/>
    <w:rsid w:val="3FEC7DA7"/>
    <w:rsid w:val="400B20B0"/>
    <w:rsid w:val="440F6068"/>
    <w:rsid w:val="45631A4E"/>
    <w:rsid w:val="4579731E"/>
    <w:rsid w:val="461A0599"/>
    <w:rsid w:val="465943C5"/>
    <w:rsid w:val="494469E0"/>
    <w:rsid w:val="4B012C62"/>
    <w:rsid w:val="4B0B0783"/>
    <w:rsid w:val="4BCC398F"/>
    <w:rsid w:val="4C0110B0"/>
    <w:rsid w:val="4C5E2412"/>
    <w:rsid w:val="4CD04437"/>
    <w:rsid w:val="4E0509AE"/>
    <w:rsid w:val="4E5A4D52"/>
    <w:rsid w:val="4E5B6308"/>
    <w:rsid w:val="4FEA5161"/>
    <w:rsid w:val="507373F2"/>
    <w:rsid w:val="51941FA5"/>
    <w:rsid w:val="52370B43"/>
    <w:rsid w:val="52A86660"/>
    <w:rsid w:val="52B857F0"/>
    <w:rsid w:val="53F8569B"/>
    <w:rsid w:val="54CA673C"/>
    <w:rsid w:val="578B7726"/>
    <w:rsid w:val="5B312873"/>
    <w:rsid w:val="5C842CCD"/>
    <w:rsid w:val="5DB93D9B"/>
    <w:rsid w:val="5FBA25CB"/>
    <w:rsid w:val="61002BF7"/>
    <w:rsid w:val="658E45CD"/>
    <w:rsid w:val="664953E4"/>
    <w:rsid w:val="678958B6"/>
    <w:rsid w:val="6C063213"/>
    <w:rsid w:val="6C087720"/>
    <w:rsid w:val="6D6B0029"/>
    <w:rsid w:val="6F08706D"/>
    <w:rsid w:val="70C73F76"/>
    <w:rsid w:val="71A057F9"/>
    <w:rsid w:val="71D17F08"/>
    <w:rsid w:val="72EA532A"/>
    <w:rsid w:val="75337592"/>
    <w:rsid w:val="766F2A4E"/>
    <w:rsid w:val="78D11FA6"/>
    <w:rsid w:val="79F2190B"/>
    <w:rsid w:val="7A2A1E09"/>
    <w:rsid w:val="7CA84AE6"/>
    <w:rsid w:val="7EE70D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 w:type="paragraph" w:customStyle="1" w:styleId="6">
    <w:name w:val="WPSOffice手动目录 1"/>
    <w:qFormat/>
    <w:uiPriority w:val="0"/>
    <w:pPr>
      <w:ind w:leftChars="0"/>
    </w:pPr>
    <w:rPr>
      <w:rFonts w:ascii="Times New Roman" w:hAnsi="Times New Roman" w:eastAsia="宋体" w:cs="Times New Roman"/>
      <w:sz w:val="20"/>
      <w:szCs w:val="20"/>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 w:type="paragraph" w:customStyle="1" w:styleId="8">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7230</Words>
  <Characters>7680</Characters>
  <Lines>0</Lines>
  <Paragraphs>0</Paragraphs>
  <TotalTime>46</TotalTime>
  <ScaleCrop>false</ScaleCrop>
  <LinksUpToDate>false</LinksUpToDate>
  <CharactersWithSpaces>7804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2022-11-10T07:16:00Z</dcterms:created>
  <dc:creator>三亚市第八幼儿园教师专用号</dc:creator>
  <cp:lastModifiedBy>张均</cp:lastModifiedBy>
  <cp:lastPrinted>2024-10-08T06:52:00Z</cp:lastPrinted>
  <dcterms:modified xsi:type="dcterms:W3CDTF">2024-10-08T09:21:41Z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EEE9D210049B42289FBE8FD3777DA1E7</vt:lpwstr>
  </property>
</Properties>
</file>