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宋体" w:eastAsia="黑体"/>
          <w:sz w:val="32"/>
          <w:szCs w:val="32"/>
        </w:rPr>
      </w:pPr>
      <w:r>
        <w:rPr>
          <w:rFonts w:hint="eastAsia" w:ascii="黑体" w:hAnsi="宋体" w:eastAsia="黑体"/>
          <w:sz w:val="32"/>
          <w:szCs w:val="32"/>
        </w:rPr>
        <w:t>附件1</w:t>
      </w:r>
    </w:p>
    <w:p>
      <w:pPr>
        <w:rPr>
          <w:rFonts w:hint="eastAsia" w:ascii="宋体" w:hAnsi="宋体"/>
          <w:sz w:val="30"/>
          <w:szCs w:val="30"/>
        </w:rPr>
      </w:pPr>
    </w:p>
    <w:p>
      <w:pPr>
        <w:jc w:val="center"/>
        <w:rPr>
          <w:rFonts w:hint="eastAsia" w:ascii="黑体" w:hAnsi="ˎ̥" w:eastAsia="黑体"/>
          <w:sz w:val="44"/>
          <w:szCs w:val="44"/>
          <w:lang w:eastAsia="zh-CN"/>
        </w:rPr>
      </w:pPr>
      <w:r>
        <w:rPr>
          <w:rFonts w:hint="eastAsia" w:ascii="黑体" w:hAnsi="ˎ̥" w:eastAsia="黑体"/>
          <w:sz w:val="44"/>
          <w:szCs w:val="44"/>
          <w:lang w:eastAsia="zh-CN"/>
        </w:rPr>
        <w:t>三亚市天涯区</w:t>
      </w:r>
      <w:r>
        <w:rPr>
          <w:rFonts w:hint="eastAsia" w:ascii="黑体" w:hAnsi="ˎ̥" w:eastAsia="黑体"/>
          <w:sz w:val="44"/>
          <w:szCs w:val="44"/>
          <w:lang w:val="en-US" w:eastAsia="zh-CN"/>
        </w:rPr>
        <w:t>抱龙幼儿园</w:t>
      </w:r>
      <w:r>
        <w:rPr>
          <w:rFonts w:hint="eastAsia" w:ascii="黑体" w:hAnsi="ˎ̥" w:eastAsia="黑体"/>
          <w:sz w:val="44"/>
          <w:szCs w:val="44"/>
          <w:lang w:eastAsia="zh-CN"/>
        </w:rPr>
        <w:t>202</w:t>
      </w:r>
      <w:r>
        <w:rPr>
          <w:rFonts w:hint="eastAsia" w:ascii="黑体" w:hAnsi="ˎ̥" w:eastAsia="黑体"/>
          <w:sz w:val="44"/>
          <w:szCs w:val="44"/>
          <w:lang w:val="en-US" w:eastAsia="zh-CN"/>
        </w:rPr>
        <w:t>3</w:t>
      </w:r>
      <w:r>
        <w:rPr>
          <w:rFonts w:hint="eastAsia" w:ascii="黑体" w:hAnsi="ˎ̥" w:eastAsia="黑体"/>
          <w:sz w:val="44"/>
          <w:szCs w:val="44"/>
          <w:lang w:eastAsia="zh-CN"/>
        </w:rPr>
        <w:t>年度</w:t>
      </w:r>
    </w:p>
    <w:p>
      <w:pPr>
        <w:jc w:val="center"/>
        <w:rPr>
          <w:rFonts w:hint="eastAsia" w:ascii="黑体" w:hAnsi="ˎ̥" w:eastAsia="黑体"/>
          <w:sz w:val="44"/>
          <w:szCs w:val="44"/>
          <w:lang w:eastAsia="zh-CN"/>
        </w:rPr>
      </w:pPr>
      <w:r>
        <w:rPr>
          <w:rFonts w:hint="eastAsia" w:ascii="黑体" w:hAnsi="ˎ̥" w:eastAsia="黑体"/>
          <w:sz w:val="44"/>
          <w:szCs w:val="44"/>
          <w:lang w:val="en-US" w:eastAsia="zh-CN"/>
        </w:rPr>
        <w:t>部门</w:t>
      </w:r>
      <w:r>
        <w:rPr>
          <w:rFonts w:hint="eastAsia" w:ascii="黑体" w:hAnsi="ˎ̥" w:eastAsia="黑体"/>
          <w:sz w:val="44"/>
          <w:szCs w:val="44"/>
          <w:lang w:eastAsia="zh-CN"/>
        </w:rPr>
        <w:t>决</w:t>
      </w:r>
      <w:r>
        <w:rPr>
          <w:rFonts w:hint="eastAsia" w:ascii="黑体" w:hAnsi="ˎ̥" w:eastAsia="黑体"/>
          <w:sz w:val="44"/>
          <w:szCs w:val="44"/>
        </w:rPr>
        <w:t>算</w:t>
      </w:r>
      <w:r>
        <w:rPr>
          <w:rFonts w:hint="eastAsia" w:ascii="黑体" w:hAnsi="ˎ̥" w:eastAsia="黑体"/>
          <w:sz w:val="44"/>
          <w:szCs w:val="44"/>
          <w:lang w:eastAsia="zh-CN"/>
        </w:rPr>
        <w:t>公开文字说明</w:t>
      </w:r>
    </w:p>
    <w:p>
      <w:pPr>
        <w:jc w:val="center"/>
        <w:rPr>
          <w:rFonts w:hint="eastAsia" w:ascii="黑体" w:hAnsi="ˎ̥" w:eastAsia="黑体"/>
          <w:b/>
          <w:sz w:val="32"/>
          <w:szCs w:val="32"/>
        </w:rPr>
      </w:pPr>
    </w:p>
    <w:p>
      <w:pPr>
        <w:spacing w:before="0" w:beforeLines="0" w:beforeAutospacing="0" w:after="0" w:afterLines="0" w:afterAutospacing="0" w:line="240" w:lineRule="auto"/>
        <w:ind w:left="0" w:leftChars="0" w:right="0" w:rightChars="0" w:firstLine="0" w:firstLineChars="0"/>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r>
        <w:rPr>
          <w:rFonts w:hint="eastAsia" w:ascii="黑体" w:hAnsi="黑体" w:eastAsia="黑体" w:cs="黑体"/>
          <w:sz w:val="44"/>
          <w:szCs w:val="44"/>
          <w:lang w:val="en-US" w:eastAsia="zh-CN"/>
        </w:rPr>
        <w:t xml:space="preserve"> </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三亚市天涯区抱龙幼儿园概况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部门职责</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三亚市天涯区抱龙幼儿园</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ˎ̥" w:eastAsia="黑体"/>
          <w:b w:val="0"/>
          <w:bCs w:val="0"/>
          <w:sz w:val="32"/>
          <w:szCs w:val="32"/>
          <w:lang w:eastAsia="zh-CN"/>
        </w:rPr>
        <w:t>年度</w:t>
      </w:r>
      <w:r>
        <w:rPr>
          <w:rFonts w:hint="eastAsia" w:ascii="黑体" w:hAnsi="ˎ̥" w:eastAsia="黑体"/>
          <w:b w:val="0"/>
          <w:bCs w:val="0"/>
          <w:sz w:val="32"/>
          <w:szCs w:val="32"/>
          <w:lang w:val="en-US" w:eastAsia="zh-CN"/>
        </w:rPr>
        <w:t>部门</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公开表</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七、</w:t>
      </w:r>
      <w:r>
        <w:rPr>
          <w:rFonts w:hint="eastAsia" w:ascii="仿宋" w:hAnsi="仿宋" w:eastAsia="仿宋" w:cs="仿宋"/>
          <w:sz w:val="32"/>
          <w:szCs w:val="32"/>
        </w:rPr>
        <w:t>政府性基金预算财政拨款收入支出决算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八、国有资本经营</w:t>
      </w:r>
      <w:r>
        <w:rPr>
          <w:rFonts w:hint="eastAsia" w:ascii="仿宋" w:hAnsi="仿宋" w:eastAsia="仿宋" w:cs="仿宋"/>
          <w:sz w:val="32"/>
          <w:szCs w:val="32"/>
        </w:rPr>
        <w:t>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一般公共预算财政拨款“三公”经费支出决算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十、政府性基金</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十一、国有资本经营</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b w:val="0"/>
          <w:bCs w:val="0"/>
          <w:sz w:val="32"/>
          <w:szCs w:val="32"/>
          <w:lang w:val="en-US" w:eastAsia="zh-CN"/>
        </w:rPr>
        <w:t>三亚市天涯区抱龙幼儿园</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ˎ̥" w:eastAsia="黑体"/>
          <w:b w:val="0"/>
          <w:bCs w:val="0"/>
          <w:sz w:val="32"/>
          <w:szCs w:val="32"/>
          <w:lang w:eastAsia="zh-CN"/>
        </w:rPr>
        <w:t>年度</w:t>
      </w:r>
      <w:r>
        <w:rPr>
          <w:rFonts w:hint="eastAsia" w:ascii="黑体" w:hAnsi="ˎ̥" w:eastAsia="黑体"/>
          <w:b w:val="0"/>
          <w:bCs w:val="0"/>
          <w:sz w:val="32"/>
          <w:szCs w:val="32"/>
          <w:lang w:val="en-US" w:eastAsia="zh-CN"/>
        </w:rPr>
        <w:t>部门</w:t>
      </w:r>
      <w:r>
        <w:rPr>
          <w:rFonts w:hint="eastAsia" w:ascii="黑体" w:hAnsi="ˎ̥" w:eastAsia="黑体"/>
          <w:b w:val="0"/>
          <w:bCs w:val="0"/>
          <w:sz w:val="32"/>
          <w:szCs w:val="32"/>
        </w:rPr>
        <w:t>决算情况说明</w:t>
      </w:r>
      <w:r>
        <w:rPr>
          <w:b w:val="0"/>
          <w:bCs w:val="0"/>
          <w:sz w:val="32"/>
          <w:szCs w:val="32"/>
        </w:rPr>
        <w:tab/>
      </w:r>
      <w:r>
        <w:rPr>
          <w:rFonts w:hint="eastAsia"/>
          <w:b w:val="0"/>
          <w:bCs w:val="0"/>
          <w:sz w:val="32"/>
          <w:szCs w:val="32"/>
          <w:lang w:val="en-US" w:eastAsia="zh-CN"/>
        </w:rPr>
        <w:t>4</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7</w:t>
      </w:r>
    </w:p>
    <w:p>
      <w:pPr>
        <w:pStyle w:val="8"/>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pStyle w:val="8"/>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国有资本经营</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rPr>
        <w:t>一般公共预算财政拨款“三公”经费支出决算情况说明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8</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十、</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rPr>
          <w:rFonts w:hint="eastAsia" w:ascii="仿宋" w:hAnsi="仿宋" w:eastAsia="仿宋" w:cs="仿宋"/>
          <w:w w:val="91"/>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w w:val="91"/>
          <w:sz w:val="32"/>
          <w:szCs w:val="32"/>
          <w:lang w:eastAsia="zh-CN"/>
        </w:rPr>
        <w:t>十一、国有资本经营</w:t>
      </w:r>
      <w:r>
        <w:rPr>
          <w:rFonts w:hint="eastAsia" w:ascii="仿宋" w:hAnsi="仿宋" w:eastAsia="仿宋" w:cs="仿宋"/>
          <w:b w:val="0"/>
          <w:bCs/>
          <w:w w:val="91"/>
          <w:sz w:val="32"/>
          <w:szCs w:val="32"/>
        </w:rPr>
        <w:t>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十三</w:t>
      </w:r>
      <w:r>
        <w:rPr>
          <w:rFonts w:hint="eastAsia" w:ascii="仿宋" w:hAnsi="仿宋" w:eastAsia="仿宋" w:cs="仿宋"/>
          <w:b w:val="0"/>
          <w:bCs/>
          <w:color w:val="auto"/>
          <w:sz w:val="32"/>
          <w:szCs w:val="32"/>
          <w:u w:val="none"/>
          <w:lang w:eastAsia="zh-CN"/>
        </w:rPr>
        <w:t>、</w:t>
      </w:r>
      <w:r>
        <w:rPr>
          <w:rFonts w:hint="eastAsia" w:ascii="仿宋" w:hAnsi="仿宋" w:eastAsia="仿宋" w:cs="仿宋"/>
          <w:b w:val="0"/>
          <w:bCs/>
          <w:color w:val="auto"/>
          <w:sz w:val="32"/>
          <w:szCs w:val="32"/>
          <w:u w:val="none"/>
        </w:rPr>
        <w:t>其他重要事项情况说明</w:t>
      </w:r>
      <w:r>
        <w:rPr>
          <w:rFonts w:hint="eastAsia" w:ascii="仿宋" w:hAnsi="仿宋" w:eastAsia="仿宋" w:cs="仿宋"/>
          <w:color w:val="auto"/>
          <w:sz w:val="32"/>
          <w:szCs w:val="32"/>
          <w:u w:val="none"/>
        </w:rPr>
        <w:tab/>
      </w:r>
      <w:r>
        <w:rPr>
          <w:rFonts w:hint="eastAsia" w:ascii="仿宋" w:hAnsi="仿宋" w:eastAsia="仿宋" w:cs="仿宋"/>
          <w:color w:val="auto"/>
          <w:sz w:val="32"/>
          <w:szCs w:val="32"/>
          <w:u w:val="none"/>
          <w:lang w:val="en-US" w:eastAsia="zh-CN"/>
        </w:rPr>
        <w:t>11</w:t>
      </w:r>
    </w:p>
    <w:bookmarkEnd w:id="0"/>
    <w:p>
      <w:pPr>
        <w:pStyle w:val="7"/>
        <w:tabs>
          <w:tab w:val="right" w:leader="dot" w:pos="8306"/>
        </w:tabs>
        <w:rPr>
          <w:b w:val="0"/>
          <w:bCs w:val="0"/>
          <w:sz w:val="32"/>
          <w:szCs w:val="32"/>
        </w:rPr>
      </w:pPr>
      <w:bookmarkStart w:id="1" w:name="_Toc15425_WPSOffice_Level1Page"/>
      <w:bookmarkEnd w:id="1"/>
      <w:r>
        <w:rPr>
          <w:b w:val="0"/>
          <w:bCs w:val="0"/>
          <w:sz w:val="32"/>
          <w:szCs w:val="32"/>
        </w:rPr>
        <w:fldChar w:fldCharType="begin"/>
      </w:r>
      <w:r>
        <w:rPr>
          <w:b w:val="0"/>
          <w:bCs w:val="0"/>
          <w:sz w:val="32"/>
          <w:szCs w:val="32"/>
        </w:rPr>
        <w:instrText xml:space="preserve"> HYPERLINK \l _Toc15425_WPSOffice_Level1 </w:instrText>
      </w:r>
      <w:r>
        <w:rPr>
          <w:b w:val="0"/>
          <w:bCs w:val="0"/>
          <w:sz w:val="32"/>
          <w:szCs w:val="32"/>
        </w:rPr>
        <w:fldChar w:fldCharType="separate"/>
      </w:r>
      <w:r>
        <w:rPr>
          <w:rFonts w:hint="eastAsia" w:ascii="黑体" w:hAnsi="ˎ̥" w:eastAsia="黑体"/>
          <w:b w:val="0"/>
          <w:bCs w:val="0"/>
          <w:sz w:val="32"/>
          <w:szCs w:val="32"/>
          <w:lang w:eastAsia="zh-CN"/>
        </w:rPr>
        <w:t>第四部分</w:t>
      </w:r>
      <w:r>
        <w:rPr>
          <w:rFonts w:hint="eastAsia" w:ascii="黑体" w:hAnsi="ˎ̥" w:eastAsia="黑体"/>
          <w:b w:val="0"/>
          <w:bCs w:val="0"/>
          <w:sz w:val="32"/>
          <w:szCs w:val="32"/>
          <w:lang w:val="en-US" w:eastAsia="zh-CN"/>
        </w:rPr>
        <w:t xml:space="preserve">  </w:t>
      </w:r>
      <w:r>
        <w:rPr>
          <w:rFonts w:hint="eastAsia" w:ascii="黑体" w:hAnsi="ˎ̥" w:eastAsia="黑体"/>
          <w:b w:val="0"/>
          <w:bCs w:val="0"/>
          <w:sz w:val="32"/>
          <w:szCs w:val="32"/>
        </w:rPr>
        <w:t>名词解释</w:t>
      </w:r>
      <w:r>
        <w:rPr>
          <w:b w:val="0"/>
          <w:bCs w:val="0"/>
          <w:sz w:val="32"/>
          <w:szCs w:val="32"/>
        </w:rPr>
        <w:tab/>
      </w:r>
      <w:r>
        <w:rPr>
          <w:b w:val="0"/>
          <w:bCs w:val="0"/>
          <w:sz w:val="32"/>
          <w:szCs w:val="32"/>
        </w:rPr>
        <w:t>1</w:t>
      </w:r>
      <w:r>
        <w:rPr>
          <w:b w:val="0"/>
          <w:bCs w:val="0"/>
          <w:sz w:val="32"/>
          <w:szCs w:val="32"/>
        </w:rPr>
        <w:fldChar w:fldCharType="end"/>
      </w:r>
      <w:r>
        <w:rPr>
          <w:rFonts w:hint="eastAsia"/>
          <w:b w:val="0"/>
          <w:bCs w:val="0"/>
          <w:sz w:val="32"/>
          <w:szCs w:val="32"/>
          <w:lang w:val="en-US" w:eastAsia="zh-CN"/>
        </w:rPr>
        <w:t>3</w:t>
      </w:r>
    </w:p>
    <w:p>
      <w:pPr>
        <w:jc w:val="left"/>
        <w:rPr>
          <w:rFonts w:hint="eastAsia" w:ascii="黑体" w:hAnsi="黑体" w:eastAsia="黑体" w:cs="黑体"/>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sz w:val="32"/>
          <w:szCs w:val="32"/>
        </w:rPr>
      </w:pPr>
      <w:bookmarkStart w:id="2" w:name="_Toc10720_WPSOffice_Level1"/>
      <w:bookmarkEnd w:id="2"/>
      <w:bookmarkStart w:id="3" w:name="_Toc10049_WPSOffice_Level1"/>
      <w:bookmarkEnd w:id="3"/>
      <w:bookmarkStart w:id="4" w:name="_Toc23465_WPSOffice_Level1"/>
      <w:bookmarkEnd w:id="4"/>
      <w:bookmarkStart w:id="5" w:name="_Toc32433_WPSOffice_Level1"/>
      <w:bookmarkEnd w:id="5"/>
      <w:bookmarkStart w:id="6" w:name="_Toc1704_WPSOffice_Level1"/>
      <w:bookmarkEnd w:id="6"/>
      <w:bookmarkStart w:id="7" w:name="_Toc22941_WPSOffice_Level1"/>
      <w:bookmarkEnd w:id="7"/>
      <w:bookmarkStart w:id="8" w:name="_Toc14159_WPSOffice_Level2"/>
      <w:bookmarkStart w:id="9" w:name="_Toc26580_WPSOffice_Level2"/>
      <w:bookmarkStart w:id="10" w:name="_Toc20205_WPSOffice_Level2"/>
      <w:bookmarkStart w:id="11" w:name="_Toc32622_WPSOffice_Level2"/>
      <w:bookmarkStart w:id="12" w:name="_Toc20274_WPSOffice_Level2"/>
      <w:bookmarkStart w:id="13" w:name="_Toc24238_WPSOffice_Level2"/>
      <w:r>
        <w:rPr>
          <w:rFonts w:hint="eastAsia" w:ascii="黑体" w:hAnsi="ˎ̥" w:eastAsia="黑体"/>
          <w:sz w:val="32"/>
          <w:szCs w:val="32"/>
          <w:lang w:eastAsia="zh-CN"/>
        </w:rPr>
        <w:t>第一部分</w:t>
      </w:r>
      <w:r>
        <w:rPr>
          <w:rFonts w:hint="eastAsia" w:ascii="黑体" w:hAnsi="ˎ̥" w:eastAsia="黑体"/>
          <w:sz w:val="32"/>
          <w:szCs w:val="32"/>
          <w:lang w:val="en-US" w:eastAsia="zh-CN"/>
        </w:rPr>
        <w:t xml:space="preserve">  </w:t>
      </w:r>
      <w:r>
        <w:rPr>
          <w:rFonts w:hint="eastAsia" w:ascii="黑体" w:hAnsi="ˎ̥" w:eastAsia="黑体"/>
          <w:b w:val="0"/>
          <w:bCs w:val="0"/>
          <w:sz w:val="32"/>
          <w:szCs w:val="32"/>
          <w:lang w:val="en-US" w:eastAsia="zh-CN"/>
        </w:rPr>
        <w:t>三亚市天涯区抱龙幼儿园</w:t>
      </w:r>
      <w:r>
        <w:rPr>
          <w:rFonts w:hint="eastAsia" w:ascii="黑体" w:hAnsi="ˎ̥" w:eastAsia="黑体"/>
          <w:sz w:val="32"/>
          <w:szCs w:val="32"/>
        </w:rPr>
        <w:t>概况</w:t>
      </w:r>
    </w:p>
    <w:p>
      <w:pPr>
        <w:ind w:firstLine="640" w:firstLineChars="200"/>
        <w:rPr>
          <w:rFonts w:hint="eastAsia" w:ascii="楷体" w:hAnsi="楷体" w:eastAsia="楷体" w:cs="楷体"/>
          <w:sz w:val="32"/>
          <w:szCs w:val="32"/>
          <w:lang w:eastAsia="zh-CN"/>
        </w:rPr>
      </w:pPr>
    </w:p>
    <w:bookmarkEnd w:id="8"/>
    <w:bookmarkEnd w:id="9"/>
    <w:bookmarkEnd w:id="10"/>
    <w:bookmarkEnd w:id="11"/>
    <w:bookmarkEnd w:id="12"/>
    <w:bookmarkEnd w:id="13"/>
    <w:p>
      <w:pPr>
        <w:numPr>
          <w:ilvl w:val="0"/>
          <w:numId w:val="2"/>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单位职责</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贯彻执行党的国家教育工资方针、政策和法律、法规，实施全面发展教育，推动基础教育事业发展;贯彻执行国家教育方针政策，传播科学教育观念，促进农村事业发展，促进幼儿全面和谐地发展，保证学生身心健康和生命安全，促进教育质量的不断提高。</w:t>
      </w:r>
    </w:p>
    <w:p>
      <w:pPr>
        <w:numPr>
          <w:ilvl w:val="0"/>
          <w:numId w:val="2"/>
        </w:numPr>
        <w:ind w:firstLine="640" w:firstLineChars="200"/>
        <w:rPr>
          <w:rFonts w:hint="eastAsia" w:ascii="黑体" w:hAnsi="黑体" w:eastAsia="黑体" w:cs="黑体"/>
          <w:sz w:val="32"/>
          <w:szCs w:val="32"/>
          <w:lang w:val="en-US" w:eastAsia="zh-CN"/>
        </w:rPr>
      </w:pPr>
      <w:bookmarkStart w:id="14" w:name="_Toc6572_WPSOffice_Level2"/>
      <w:bookmarkEnd w:id="14"/>
      <w:bookmarkStart w:id="15" w:name="_Toc24059_WPSOffice_Level2"/>
      <w:bookmarkEnd w:id="15"/>
      <w:bookmarkStart w:id="16" w:name="_Toc4833_WPSOffice_Level2"/>
      <w:bookmarkEnd w:id="16"/>
      <w:bookmarkStart w:id="17" w:name="_Toc24474_WPSOffice_Level2"/>
      <w:bookmarkEnd w:id="17"/>
      <w:bookmarkStart w:id="18" w:name="_Toc17796_WPSOffice_Level2"/>
      <w:bookmarkEnd w:id="18"/>
      <w:r>
        <w:rPr>
          <w:rFonts w:hint="eastAsia" w:ascii="黑体" w:hAnsi="黑体" w:eastAsia="黑体" w:cs="黑体"/>
          <w:sz w:val="32"/>
          <w:szCs w:val="32"/>
          <w:lang w:val="en-US" w:eastAsia="zh-CN"/>
        </w:rPr>
        <w:t>机构设置</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单位内设机构包括：</w:t>
      </w:r>
    </w:p>
    <w:p>
      <w:pPr>
        <w:numPr>
          <w:ilvl w:val="0"/>
          <w:numId w:val="3"/>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园长室</w:t>
      </w:r>
    </w:p>
    <w:p>
      <w:pPr>
        <w:numPr>
          <w:ilvl w:val="0"/>
          <w:numId w:val="3"/>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办公室</w:t>
      </w:r>
    </w:p>
    <w:p>
      <w:pPr>
        <w:numPr>
          <w:ilvl w:val="0"/>
          <w:numId w:val="3"/>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财务室</w:t>
      </w:r>
    </w:p>
    <w:p>
      <w:pPr>
        <w:jc w:val="center"/>
        <w:rPr>
          <w:rFonts w:hint="eastAsia" w:ascii="黑体" w:hAnsi="ˎ̥" w:eastAsia="黑体"/>
          <w:b w:val="0"/>
          <w:bCs w:val="0"/>
          <w:sz w:val="32"/>
          <w:szCs w:val="32"/>
        </w:rPr>
      </w:pPr>
      <w:bookmarkStart w:id="19" w:name="_Toc15521_WPSOffice_Level1"/>
      <w:bookmarkEnd w:id="19"/>
      <w:bookmarkStart w:id="20" w:name="_Toc28253_WPSOffice_Level1"/>
      <w:bookmarkEnd w:id="20"/>
      <w:bookmarkStart w:id="21" w:name="_Toc30690_WPSOffice_Level1"/>
      <w:bookmarkEnd w:id="21"/>
      <w:bookmarkStart w:id="22" w:name="_Toc6234_WPSOffice_Level1"/>
      <w:bookmarkEnd w:id="22"/>
      <w:bookmarkStart w:id="23" w:name="_Toc8164_WPSOffice_Level1"/>
      <w:bookmarkEnd w:id="23"/>
      <w:bookmarkStart w:id="24" w:name="_Toc30451_WPSOffice_Level1"/>
      <w:bookmarkEnd w:id="24"/>
      <w:bookmarkStart w:id="25" w:name="_Toc4029_WPSOffice_Level2"/>
      <w:bookmarkStart w:id="26" w:name="_Toc32695_WPSOffice_Level2"/>
      <w:bookmarkStart w:id="27" w:name="_Toc11518_WPSOffice_Level2"/>
      <w:bookmarkStart w:id="28" w:name="_Toc6211_WPSOffice_Level2"/>
      <w:bookmarkStart w:id="29" w:name="_Toc32472_WPSOffice_Level2"/>
      <w:bookmarkStart w:id="30" w:name="_Toc8867_WPSOffice_Level2"/>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三亚市天涯区抱龙幼儿园</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ˎ̥" w:eastAsia="黑体"/>
          <w:b w:val="0"/>
          <w:bCs w:val="0"/>
          <w:sz w:val="32"/>
          <w:szCs w:val="32"/>
          <w:lang w:eastAsia="zh-CN"/>
        </w:rPr>
        <w:t>年度</w:t>
      </w:r>
      <w:r>
        <w:rPr>
          <w:rFonts w:hint="eastAsia" w:ascii="黑体" w:hAnsi="ˎ̥" w:eastAsia="黑体"/>
          <w:b w:val="0"/>
          <w:bCs w:val="0"/>
          <w:sz w:val="32"/>
          <w:szCs w:val="32"/>
          <w:lang w:val="en-US" w:eastAsia="zh-CN"/>
        </w:rPr>
        <w:t>单位</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w:t>
      </w:r>
      <w:r>
        <w:rPr>
          <w:rFonts w:hint="eastAsia" w:ascii="黑体" w:hAnsi="ˎ̥" w:eastAsia="黑体"/>
          <w:b w:val="0"/>
          <w:bCs w:val="0"/>
          <w:sz w:val="32"/>
          <w:szCs w:val="32"/>
        </w:rPr>
        <w:t>报表</w:t>
      </w:r>
    </w:p>
    <w:bookmarkEnd w:id="25"/>
    <w:bookmarkEnd w:id="26"/>
    <w:bookmarkEnd w:id="27"/>
    <w:bookmarkEnd w:id="28"/>
    <w:bookmarkEnd w:id="29"/>
    <w:bookmarkEnd w:id="30"/>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收入支出决算</w:t>
      </w:r>
      <w:r>
        <w:rPr>
          <w:rFonts w:hint="eastAsia" w:ascii="黑体" w:hAnsi="黑体" w:eastAsia="黑体" w:cs="黑体"/>
          <w:sz w:val="32"/>
          <w:szCs w:val="32"/>
          <w:lang w:eastAsia="zh-CN"/>
        </w:rPr>
        <w:t>公开表（见正文附件）。</w:t>
      </w:r>
    </w:p>
    <w:p>
      <w:pPr>
        <w:ind w:firstLine="645"/>
        <w:rPr>
          <w:rFonts w:hint="eastAsia" w:ascii="黑体" w:hAnsi="黑体" w:eastAsia="黑体" w:cs="黑体"/>
          <w:sz w:val="32"/>
          <w:szCs w:val="32"/>
          <w:lang w:eastAsia="zh-CN"/>
        </w:rPr>
      </w:pPr>
      <w:bookmarkStart w:id="31" w:name="_Toc25608_WPSOffice_Level2"/>
      <w:bookmarkEnd w:id="31"/>
      <w:bookmarkStart w:id="32" w:name="_Toc28622_WPSOffice_Level2"/>
      <w:bookmarkEnd w:id="32"/>
      <w:bookmarkStart w:id="33" w:name="_Toc23139_WPSOffice_Level2"/>
      <w:bookmarkEnd w:id="33"/>
      <w:bookmarkStart w:id="34" w:name="_Toc14349_WPSOffice_Level2"/>
      <w:bookmarkEnd w:id="34"/>
      <w:bookmarkStart w:id="35" w:name="_Toc30334_WPSOffice_Level2"/>
      <w:bookmarkEnd w:id="35"/>
      <w:bookmarkStart w:id="36" w:name="_Toc26621_WPSOffice_Level2"/>
      <w:bookmarkEnd w:id="36"/>
      <w:r>
        <w:rPr>
          <w:rFonts w:hint="eastAsia" w:ascii="黑体" w:hAnsi="黑体" w:eastAsia="黑体" w:cs="黑体"/>
          <w:sz w:val="32"/>
          <w:szCs w:val="32"/>
          <w:lang w:val="en-US" w:eastAsia="zh-CN"/>
        </w:rPr>
        <w:t>二、</w:t>
      </w:r>
      <w:r>
        <w:rPr>
          <w:rFonts w:hint="eastAsia" w:ascii="黑体" w:hAnsi="黑体" w:eastAsia="黑体" w:cs="黑体"/>
          <w:sz w:val="32"/>
          <w:szCs w:val="32"/>
        </w:rPr>
        <w:t>收入决算</w:t>
      </w:r>
      <w:r>
        <w:rPr>
          <w:rFonts w:hint="eastAsia" w:ascii="黑体" w:hAnsi="黑体" w:eastAsia="黑体" w:cs="黑体"/>
          <w:sz w:val="32"/>
          <w:szCs w:val="32"/>
          <w:lang w:eastAsia="zh-CN"/>
        </w:rPr>
        <w:t>公开表（见正文附件）。</w:t>
      </w:r>
    </w:p>
    <w:p>
      <w:pPr>
        <w:ind w:firstLine="645"/>
        <w:rPr>
          <w:rFonts w:hint="eastAsia" w:ascii="黑体" w:hAnsi="黑体" w:eastAsia="黑体" w:cs="黑体"/>
          <w:sz w:val="32"/>
          <w:szCs w:val="32"/>
          <w:lang w:eastAsia="zh-CN"/>
        </w:rPr>
      </w:pPr>
      <w:bookmarkStart w:id="37" w:name="_Toc5489_WPSOffice_Level2"/>
      <w:bookmarkEnd w:id="37"/>
      <w:bookmarkStart w:id="38" w:name="_Toc17858_WPSOffice_Level2"/>
      <w:bookmarkEnd w:id="38"/>
      <w:bookmarkStart w:id="39" w:name="_Toc13854_WPSOffice_Level2"/>
      <w:bookmarkEnd w:id="39"/>
      <w:bookmarkStart w:id="40" w:name="_Toc3262_WPSOffice_Level2"/>
      <w:bookmarkEnd w:id="40"/>
      <w:bookmarkStart w:id="41" w:name="_Toc17626_WPSOffice_Level2"/>
      <w:bookmarkEnd w:id="41"/>
      <w:bookmarkStart w:id="42" w:name="_Toc14658_WPSOffice_Level2"/>
      <w:bookmarkEnd w:id="42"/>
      <w:r>
        <w:rPr>
          <w:rFonts w:hint="eastAsia" w:ascii="黑体" w:hAnsi="黑体" w:eastAsia="黑体" w:cs="黑体"/>
          <w:sz w:val="32"/>
          <w:szCs w:val="32"/>
          <w:lang w:val="en-US" w:eastAsia="zh-CN"/>
        </w:rPr>
        <w:t>三、</w:t>
      </w:r>
      <w:r>
        <w:rPr>
          <w:rFonts w:hint="eastAsia" w:ascii="黑体" w:hAnsi="黑体" w:eastAsia="黑体" w:cs="黑体"/>
          <w:sz w:val="32"/>
          <w:szCs w:val="32"/>
        </w:rPr>
        <w:t>支出决算</w:t>
      </w:r>
      <w:r>
        <w:rPr>
          <w:rFonts w:hint="eastAsia" w:ascii="黑体" w:hAnsi="黑体" w:eastAsia="黑体" w:cs="黑体"/>
          <w:sz w:val="32"/>
          <w:szCs w:val="32"/>
          <w:lang w:eastAsia="zh-CN"/>
        </w:rPr>
        <w:t>公开表（见正文附件）。</w:t>
      </w:r>
    </w:p>
    <w:p>
      <w:pPr>
        <w:ind w:firstLine="645"/>
        <w:rPr>
          <w:rFonts w:hint="eastAsia" w:ascii="黑体" w:hAnsi="黑体" w:eastAsia="黑体" w:cs="黑体"/>
          <w:sz w:val="32"/>
          <w:szCs w:val="32"/>
          <w:lang w:eastAsia="zh-CN"/>
        </w:rPr>
      </w:pPr>
      <w:bookmarkStart w:id="43" w:name="_Toc21415_WPSOffice_Level2"/>
      <w:bookmarkEnd w:id="43"/>
      <w:bookmarkStart w:id="44" w:name="_Toc13701_WPSOffice_Level2"/>
      <w:bookmarkEnd w:id="44"/>
      <w:bookmarkStart w:id="45" w:name="_Toc23591_WPSOffice_Level2"/>
      <w:bookmarkEnd w:id="45"/>
      <w:bookmarkStart w:id="46" w:name="_Toc4265_WPSOffice_Level2"/>
      <w:bookmarkEnd w:id="46"/>
      <w:bookmarkStart w:id="47" w:name="_Toc7988_WPSOffice_Level2"/>
      <w:bookmarkEnd w:id="47"/>
      <w:bookmarkStart w:id="48" w:name="_Toc23493_WPSOffice_Level2"/>
      <w:bookmarkEnd w:id="48"/>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财政拨款收入支出决算</w:t>
      </w:r>
      <w:r>
        <w:rPr>
          <w:rFonts w:hint="eastAsia" w:ascii="黑体" w:hAnsi="黑体" w:eastAsia="黑体" w:cs="黑体"/>
          <w:sz w:val="32"/>
          <w:szCs w:val="32"/>
          <w:lang w:eastAsia="zh-CN"/>
        </w:rPr>
        <w:t>公开表（见正文附件）。</w:t>
      </w:r>
    </w:p>
    <w:p>
      <w:pPr>
        <w:ind w:firstLine="645"/>
        <w:rPr>
          <w:rFonts w:hint="eastAsia" w:ascii="黑体" w:hAnsi="黑体" w:eastAsia="黑体" w:cs="黑体"/>
          <w:sz w:val="32"/>
          <w:szCs w:val="32"/>
          <w:lang w:eastAsia="zh-CN"/>
        </w:rPr>
      </w:pPr>
      <w:bookmarkStart w:id="49" w:name="_Toc25166_WPSOffice_Level2"/>
      <w:bookmarkEnd w:id="49"/>
      <w:bookmarkStart w:id="50" w:name="_Toc23829_WPSOffice_Level2"/>
      <w:bookmarkEnd w:id="50"/>
      <w:bookmarkStart w:id="51" w:name="_Toc7879_WPSOffice_Level2"/>
      <w:bookmarkEnd w:id="51"/>
      <w:bookmarkStart w:id="52" w:name="_Toc22783_WPSOffice_Level2"/>
      <w:bookmarkEnd w:id="52"/>
      <w:bookmarkStart w:id="53" w:name="_Toc2158_WPSOffice_Level2"/>
      <w:bookmarkStart w:id="54" w:name="_Toc13516_WPSOffice_Level2"/>
      <w:r>
        <w:rPr>
          <w:rFonts w:hint="eastAsia" w:ascii="黑体" w:hAnsi="黑体" w:eastAsia="黑体" w:cs="黑体"/>
          <w:sz w:val="32"/>
          <w:szCs w:val="32"/>
          <w:lang w:val="en-US" w:eastAsia="zh-CN"/>
        </w:rPr>
        <w:t>五、</w:t>
      </w:r>
      <w:r>
        <w:rPr>
          <w:rFonts w:hint="eastAsia" w:ascii="黑体" w:hAnsi="黑体" w:eastAsia="黑体" w:cs="黑体"/>
          <w:sz w:val="32"/>
          <w:szCs w:val="32"/>
        </w:rPr>
        <w:t>一般公共预算财政拨款收入支出决算</w:t>
      </w:r>
      <w:r>
        <w:rPr>
          <w:rFonts w:hint="eastAsia" w:ascii="黑体" w:hAnsi="黑体" w:eastAsia="黑体" w:cs="黑体"/>
          <w:sz w:val="32"/>
          <w:szCs w:val="32"/>
          <w:lang w:eastAsia="zh-CN"/>
        </w:rPr>
        <w:t>公开表</w:t>
      </w:r>
    </w:p>
    <w:bookmarkEnd w:id="53"/>
    <w:bookmarkEnd w:id="54"/>
    <w:p>
      <w:pPr>
        <w:ind w:firstLine="1302" w:firstLineChars="407"/>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firstLine="645"/>
        <w:rPr>
          <w:rFonts w:hint="eastAsia" w:ascii="黑体" w:hAnsi="黑体" w:eastAsia="黑体" w:cs="黑体"/>
          <w:sz w:val="32"/>
          <w:szCs w:val="32"/>
        </w:rPr>
      </w:pPr>
      <w:bookmarkStart w:id="55" w:name="_Toc17833_WPSOffice_Level2"/>
      <w:bookmarkEnd w:id="55"/>
      <w:bookmarkStart w:id="56" w:name="_Toc2632_WPSOffice_Level2"/>
      <w:bookmarkEnd w:id="56"/>
      <w:bookmarkStart w:id="57" w:name="_Toc25362_WPSOffice_Level2"/>
      <w:bookmarkEnd w:id="57"/>
      <w:bookmarkStart w:id="58" w:name="_Toc17283_WPSOffice_Level2"/>
      <w:bookmarkEnd w:id="58"/>
      <w:bookmarkStart w:id="59" w:name="_Toc5343_WPSOffice_Level2"/>
      <w:bookmarkEnd w:id="59"/>
      <w:bookmarkStart w:id="60" w:name="_Toc8373_WPSOffice_Level2"/>
      <w:bookmarkEnd w:id="60"/>
      <w:r>
        <w:rPr>
          <w:rFonts w:hint="eastAsia" w:ascii="黑体" w:hAnsi="黑体" w:eastAsia="黑体" w:cs="黑体"/>
          <w:sz w:val="32"/>
          <w:szCs w:val="32"/>
          <w:lang w:val="en-US" w:eastAsia="zh-CN"/>
        </w:rPr>
        <w:t>六、</w:t>
      </w:r>
      <w:r>
        <w:rPr>
          <w:rFonts w:hint="eastAsia" w:ascii="黑体" w:hAnsi="黑体" w:eastAsia="黑体" w:cs="黑体"/>
          <w:sz w:val="32"/>
          <w:szCs w:val="32"/>
        </w:rPr>
        <w:t>一般公共预算财政拨款基本支出决算</w:t>
      </w:r>
      <w:r>
        <w:rPr>
          <w:rFonts w:hint="eastAsia" w:ascii="黑体" w:hAnsi="黑体" w:eastAsia="黑体" w:cs="黑体"/>
          <w:sz w:val="32"/>
          <w:szCs w:val="32"/>
          <w:lang w:eastAsia="zh-CN"/>
        </w:rPr>
        <w:t>公开表</w:t>
      </w:r>
    </w:p>
    <w:p>
      <w:pPr>
        <w:ind w:firstLine="1280" w:firstLineChars="40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bookmarkStart w:id="61" w:name="_Toc21310_WPSOffice_Level2"/>
      <w:bookmarkEnd w:id="61"/>
      <w:bookmarkStart w:id="62" w:name="_Toc5594_WPSOffice_Level2"/>
      <w:bookmarkEnd w:id="62"/>
      <w:bookmarkStart w:id="63" w:name="_Toc6020_WPSOffice_Level2"/>
      <w:bookmarkEnd w:id="63"/>
      <w:bookmarkStart w:id="64" w:name="_Toc1533_WPSOffice_Level2"/>
      <w:bookmarkEnd w:id="64"/>
      <w:bookmarkStart w:id="65" w:name="_Toc13345_WPSOffice_Level2"/>
      <w:bookmarkEnd w:id="65"/>
      <w:bookmarkStart w:id="66" w:name="_Toc11799_WPSOffice_Level2"/>
      <w:bookmarkEnd w:id="66"/>
      <w:r>
        <w:rPr>
          <w:rFonts w:hint="eastAsia" w:ascii="黑体" w:hAnsi="黑体" w:eastAsia="黑体" w:cs="黑体"/>
          <w:sz w:val="32"/>
          <w:szCs w:val="32"/>
          <w:lang w:val="en-US" w:eastAsia="zh-CN"/>
        </w:rPr>
        <w:t>七、</w:t>
      </w:r>
      <w:r>
        <w:rPr>
          <w:rFonts w:hint="eastAsia" w:ascii="黑体" w:hAnsi="黑体" w:eastAsia="黑体" w:cs="黑体"/>
          <w:sz w:val="32"/>
          <w:szCs w:val="32"/>
        </w:rPr>
        <w:t>政府性基金预算财政拨款收入支出决算</w:t>
      </w:r>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lang w:eastAsia="zh-CN"/>
        </w:rPr>
        <w:t>国有资本经营</w:t>
      </w:r>
      <w:r>
        <w:rPr>
          <w:rFonts w:hint="eastAsia" w:ascii="黑体" w:hAnsi="黑体" w:eastAsia="黑体" w:cs="黑体"/>
          <w:sz w:val="32"/>
          <w:szCs w:val="32"/>
        </w:rPr>
        <w:t>预算财政拨款收入支出决算</w:t>
      </w:r>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sz w:val="32"/>
          <w:szCs w:val="32"/>
        </w:rPr>
      </w:pPr>
      <w:bookmarkStart w:id="67" w:name="_Toc19961_WPSOffice_Level2"/>
      <w:bookmarkStart w:id="68" w:name="_Toc9377_WPSOffice_Level2"/>
      <w:bookmarkStart w:id="69" w:name="_Toc1820_WPSOffice_Level2"/>
      <w:bookmarkStart w:id="70" w:name="_Toc29886_WPSOffice_Level2"/>
      <w:r>
        <w:rPr>
          <w:rFonts w:hint="eastAsia" w:ascii="黑体" w:hAnsi="黑体" w:eastAsia="黑体" w:cs="黑体"/>
          <w:sz w:val="32"/>
          <w:szCs w:val="32"/>
          <w:lang w:val="en-US" w:eastAsia="zh-CN"/>
        </w:rPr>
        <w:t xml:space="preserve">    九、</w:t>
      </w:r>
      <w:r>
        <w:rPr>
          <w:rFonts w:hint="eastAsia" w:ascii="黑体" w:hAnsi="黑体" w:eastAsia="黑体" w:cs="黑体"/>
          <w:sz w:val="32"/>
          <w:szCs w:val="32"/>
        </w:rPr>
        <w:t>一般公共预算财政拨款“三公”经费支出决算</w:t>
      </w:r>
    </w:p>
    <w:bookmarkEnd w:id="67"/>
    <w:bookmarkEnd w:id="68"/>
    <w:bookmarkEnd w:id="69"/>
    <w:bookmarkEnd w:id="70"/>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w:t>
      </w:r>
      <w:r>
        <w:rPr>
          <w:rFonts w:hint="eastAsia" w:ascii="黑体" w:hAnsi="黑体" w:eastAsia="黑体" w:cs="黑体"/>
          <w:w w:val="96"/>
          <w:sz w:val="32"/>
          <w:szCs w:val="32"/>
          <w:lang w:eastAsia="zh-CN"/>
        </w:rPr>
        <w:t>政府性基金</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十一、</w:t>
      </w:r>
      <w:r>
        <w:rPr>
          <w:rFonts w:hint="eastAsia" w:ascii="黑体" w:hAnsi="黑体" w:eastAsia="黑体" w:cs="黑体"/>
          <w:w w:val="96"/>
          <w:sz w:val="32"/>
          <w:szCs w:val="32"/>
          <w:lang w:eastAsia="zh-CN"/>
        </w:rPr>
        <w:t>国有资本经营</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ind w:firstLine="0" w:firstLineChars="0"/>
        <w:rPr>
          <w:rFonts w:hint="eastAsia" w:ascii="黑体" w:hAnsi="黑体" w:eastAsia="黑体" w:cs="黑体"/>
          <w:sz w:val="32"/>
          <w:szCs w:val="32"/>
          <w:lang w:eastAsia="zh-CN"/>
        </w:rPr>
      </w:pPr>
    </w:p>
    <w:p>
      <w:pPr>
        <w:jc w:val="center"/>
        <w:rPr>
          <w:rFonts w:hint="eastAsia" w:ascii="黑体" w:hAnsi="ˎ̥" w:eastAsia="黑体"/>
          <w:b w:val="0"/>
          <w:bCs w:val="0"/>
          <w:sz w:val="32"/>
          <w:szCs w:val="32"/>
        </w:rPr>
      </w:pPr>
      <w:bookmarkStart w:id="71" w:name="_Toc29683_WPSOffice_Level1"/>
      <w:bookmarkEnd w:id="71"/>
      <w:bookmarkStart w:id="72" w:name="_Toc4402_WPSOffice_Level1"/>
      <w:bookmarkEnd w:id="72"/>
      <w:bookmarkStart w:id="73" w:name="_Toc16686_WPSOffice_Level1"/>
      <w:bookmarkEnd w:id="73"/>
      <w:bookmarkStart w:id="74" w:name="_Toc27590_WPSOffice_Level1"/>
      <w:bookmarkEnd w:id="74"/>
      <w:bookmarkStart w:id="75" w:name="_Toc28629_WPSOffice_Level1"/>
      <w:bookmarkEnd w:id="75"/>
      <w:bookmarkStart w:id="76" w:name="_Toc31264_WPSOffice_Level1"/>
      <w:bookmarkEnd w:id="76"/>
      <w:r>
        <w:rPr>
          <w:rFonts w:hint="eastAsia" w:ascii="黑体" w:hAnsi="ˎ̥" w:eastAsia="黑体"/>
          <w:b w:val="0"/>
          <w:bCs w:val="0"/>
          <w:sz w:val="32"/>
          <w:szCs w:val="32"/>
          <w:lang w:eastAsia="zh-CN"/>
        </w:rPr>
        <w:t>第三部分</w:t>
      </w:r>
      <w:r>
        <w:rPr>
          <w:rFonts w:hint="eastAsia" w:ascii="黑体" w:hAnsi="ˎ̥" w:eastAsia="黑体"/>
          <w:b w:val="0"/>
          <w:bCs w:val="0"/>
          <w:sz w:val="32"/>
          <w:szCs w:val="32"/>
          <w:lang w:val="en-US" w:eastAsia="zh-CN"/>
        </w:rPr>
        <w:t xml:space="preserve">  三亚市天涯区抱龙幼儿园部门</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ˎ̥" w:eastAsia="黑体"/>
          <w:b w:val="0"/>
          <w:bCs w:val="0"/>
          <w:sz w:val="32"/>
          <w:szCs w:val="32"/>
          <w:lang w:eastAsia="zh-CN"/>
        </w:rPr>
        <w:t>年度</w:t>
      </w:r>
      <w:r>
        <w:rPr>
          <w:rFonts w:hint="eastAsia" w:ascii="黑体" w:hAnsi="ˎ̥" w:eastAsia="黑体"/>
          <w:b w:val="0"/>
          <w:bCs w:val="0"/>
          <w:sz w:val="32"/>
          <w:szCs w:val="32"/>
          <w:lang w:val="en-US" w:eastAsia="zh-CN"/>
        </w:rPr>
        <w:t>单位</w:t>
      </w:r>
      <w:r>
        <w:rPr>
          <w:rFonts w:hint="eastAsia" w:ascii="黑体" w:hAnsi="ˎ̥" w:eastAsia="黑体"/>
          <w:b w:val="0"/>
          <w:bCs w:val="0"/>
          <w:sz w:val="32"/>
          <w:szCs w:val="32"/>
        </w:rPr>
        <w:t>决算情况说明</w:t>
      </w:r>
    </w:p>
    <w:p>
      <w:pPr>
        <w:jc w:val="center"/>
        <w:rPr>
          <w:rFonts w:hint="eastAsia" w:ascii="黑体" w:hAnsi="ˎ̥" w:eastAsia="黑体"/>
          <w:sz w:val="32"/>
          <w:szCs w:val="32"/>
        </w:rPr>
      </w:pPr>
    </w:p>
    <w:p>
      <w:pPr>
        <w:numPr>
          <w:ilvl w:val="0"/>
          <w:numId w:val="0"/>
        </w:num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收入支出决算总体情况说明</w:t>
      </w:r>
    </w:p>
    <w:p>
      <w:pPr>
        <w:numPr>
          <w:ilvl w:val="0"/>
          <w:numId w:val="0"/>
        </w:numPr>
        <w:ind w:firstLine="640" w:firstLineChars="200"/>
        <w:rPr>
          <w:rFonts w:hint="eastAsia" w:ascii="仿宋_GB2312" w:hAnsi="ˎ̥" w:eastAsia="仿宋_GB2312"/>
          <w:sz w:val="32"/>
          <w:szCs w:val="32"/>
          <w:highlight w:val="none"/>
          <w:lang w:val="en-US" w:eastAsia="zh-CN"/>
        </w:rPr>
      </w:pPr>
      <w:r>
        <w:rPr>
          <w:rFonts w:hint="eastAsia" w:ascii="仿宋_GB2312" w:hAnsi="ˎ̥" w:eastAsia="仿宋_GB2312"/>
          <w:sz w:val="32"/>
          <w:szCs w:val="32"/>
          <w:highlight w:val="none"/>
        </w:rPr>
        <w:t>202</w:t>
      </w:r>
      <w:r>
        <w:rPr>
          <w:rFonts w:hint="eastAsia" w:ascii="仿宋_GB2312" w:hAnsi="ˎ̥" w:eastAsia="仿宋_GB2312"/>
          <w:sz w:val="32"/>
          <w:szCs w:val="32"/>
          <w:highlight w:val="none"/>
          <w:lang w:val="en-US" w:eastAsia="zh-CN"/>
        </w:rPr>
        <w:t>3</w:t>
      </w:r>
      <w:r>
        <w:rPr>
          <w:rFonts w:hint="eastAsia" w:ascii="仿宋_GB2312" w:hAnsi="ˎ̥" w:eastAsia="仿宋_GB2312"/>
          <w:sz w:val="32"/>
          <w:szCs w:val="32"/>
          <w:highlight w:val="none"/>
        </w:rPr>
        <w:t>年度收入总计</w:t>
      </w:r>
      <w:r>
        <w:rPr>
          <w:rFonts w:hint="eastAsia" w:ascii="仿宋_GB2312" w:hAnsi="ˎ̥" w:eastAsia="仿宋_GB2312"/>
          <w:sz w:val="32"/>
          <w:szCs w:val="32"/>
          <w:highlight w:val="none"/>
          <w:lang w:val="en-US" w:eastAsia="zh-CN"/>
        </w:rPr>
        <w:t>232.46</w:t>
      </w:r>
      <w:r>
        <w:rPr>
          <w:rFonts w:hint="eastAsia" w:ascii="仿宋_GB2312" w:hAnsi="ˎ̥" w:eastAsia="仿宋_GB2312"/>
          <w:sz w:val="32"/>
          <w:szCs w:val="32"/>
          <w:highlight w:val="none"/>
        </w:rPr>
        <w:t>万元，支出总计</w:t>
      </w:r>
      <w:r>
        <w:rPr>
          <w:rFonts w:hint="eastAsia" w:ascii="仿宋_GB2312" w:hAnsi="ˎ̥" w:eastAsia="仿宋_GB2312"/>
          <w:sz w:val="32"/>
          <w:szCs w:val="32"/>
          <w:highlight w:val="none"/>
          <w:lang w:val="en-US" w:eastAsia="zh-CN"/>
        </w:rPr>
        <w:t>232.46</w:t>
      </w:r>
      <w:r>
        <w:rPr>
          <w:rFonts w:hint="eastAsia" w:ascii="仿宋_GB2312" w:hAnsi="ˎ̥" w:eastAsia="仿宋_GB2312"/>
          <w:sz w:val="32"/>
          <w:szCs w:val="32"/>
          <w:highlight w:val="none"/>
        </w:rPr>
        <w:t>万元，与202</w:t>
      </w:r>
      <w:r>
        <w:rPr>
          <w:rFonts w:hint="eastAsia" w:ascii="仿宋_GB2312" w:hAnsi="ˎ̥" w:eastAsia="仿宋_GB2312"/>
          <w:sz w:val="32"/>
          <w:szCs w:val="32"/>
          <w:highlight w:val="none"/>
          <w:lang w:val="en-US" w:eastAsia="zh-CN"/>
        </w:rPr>
        <w:t>2</w:t>
      </w:r>
      <w:r>
        <w:rPr>
          <w:rFonts w:hint="eastAsia" w:ascii="仿宋_GB2312" w:hAnsi="ˎ̥" w:eastAsia="仿宋_GB2312"/>
          <w:sz w:val="32"/>
          <w:szCs w:val="32"/>
          <w:highlight w:val="none"/>
        </w:rPr>
        <w:t>年度相比，收入、支出总计</w:t>
      </w:r>
      <w:r>
        <w:rPr>
          <w:rFonts w:hint="eastAsia" w:ascii="仿宋_GB2312" w:hAnsi="ˎ̥" w:eastAsia="仿宋_GB2312"/>
          <w:sz w:val="32"/>
          <w:szCs w:val="32"/>
          <w:highlight w:val="none"/>
          <w:lang w:eastAsia="zh-CN"/>
        </w:rPr>
        <w:t>各</w:t>
      </w:r>
      <w:r>
        <w:rPr>
          <w:rFonts w:hint="eastAsia" w:ascii="仿宋_GB2312" w:hAnsi="ˎ̥" w:eastAsia="仿宋_GB2312"/>
          <w:sz w:val="32"/>
          <w:szCs w:val="32"/>
          <w:highlight w:val="none"/>
          <w:lang w:val="en-US" w:eastAsia="zh-CN"/>
        </w:rPr>
        <w:t>增加5.71</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val="en-US" w:eastAsia="zh-CN"/>
        </w:rPr>
        <w:t>增加0.9</w:t>
      </w:r>
      <w:r>
        <w:rPr>
          <w:rFonts w:hint="eastAsia" w:ascii="仿宋_GB2312" w:hAnsi="ˎ̥" w:eastAsia="仿宋_GB2312"/>
          <w:sz w:val="32"/>
          <w:szCs w:val="32"/>
          <w:highlight w:val="none"/>
        </w:rPr>
        <w:t>%。主要原因：一是</w:t>
      </w:r>
      <w:r>
        <w:rPr>
          <w:rFonts w:hint="eastAsia" w:ascii="仿宋_GB2312" w:hAnsi="ˎ̥" w:eastAsia="仿宋_GB2312"/>
          <w:sz w:val="32"/>
          <w:szCs w:val="32"/>
          <w:highlight w:val="none"/>
          <w:lang w:eastAsia="zh-CN"/>
        </w:rPr>
        <w:t>财政拨款</w:t>
      </w:r>
      <w:r>
        <w:rPr>
          <w:rFonts w:hint="eastAsia" w:ascii="仿宋_GB2312" w:hAnsi="ˎ̥" w:eastAsia="仿宋_GB2312"/>
          <w:sz w:val="32"/>
          <w:szCs w:val="32"/>
          <w:highlight w:val="none"/>
          <w:lang w:val="en-US" w:eastAsia="zh-CN"/>
        </w:rPr>
        <w:t>增加</w:t>
      </w:r>
      <w:r>
        <w:rPr>
          <w:rFonts w:hint="eastAsia" w:ascii="仿宋_GB2312" w:hAnsi="ˎ̥" w:eastAsia="仿宋_GB2312"/>
          <w:sz w:val="32"/>
          <w:szCs w:val="32"/>
          <w:highlight w:val="none"/>
        </w:rPr>
        <w:t>；二是</w:t>
      </w:r>
      <w:r>
        <w:rPr>
          <w:rFonts w:hint="eastAsia" w:ascii="仿宋_GB2312" w:hAnsi="ˎ̥" w:eastAsia="仿宋_GB2312"/>
          <w:sz w:val="32"/>
          <w:szCs w:val="32"/>
          <w:highlight w:val="none"/>
          <w:lang w:eastAsia="zh-CN"/>
        </w:rPr>
        <w:t>教育支出、社会保障和就业支出、卫生支出、住房保障支出</w:t>
      </w:r>
      <w:r>
        <w:rPr>
          <w:rFonts w:hint="eastAsia" w:ascii="仿宋_GB2312" w:hAnsi="ˎ̥" w:eastAsia="仿宋_GB2312"/>
          <w:sz w:val="32"/>
          <w:szCs w:val="32"/>
          <w:highlight w:val="none"/>
          <w:lang w:val="en-US" w:eastAsia="zh-CN"/>
        </w:rPr>
        <w:t>增加。</w:t>
      </w:r>
      <w:r>
        <w:rPr>
          <w:rFonts w:hint="eastAsia" w:ascii="仿宋_GB2312" w:hAnsi="ˎ̥" w:eastAsia="仿宋_GB2312"/>
          <w:sz w:val="32"/>
          <w:szCs w:val="32"/>
          <w:highlight w:val="none"/>
          <w:lang w:eastAsia="zh-CN"/>
        </w:rPr>
        <w:t>使用非财政拨款结余</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ascii="仿宋_GB2312" w:hAnsi="ˎ̥" w:eastAsia="仿宋_GB2312" w:cs="仿宋_GB2312"/>
          <w:sz w:val="32"/>
          <w:szCs w:val="32"/>
          <w:highlight w:val="none"/>
        </w:rPr>
        <w:t>较</w:t>
      </w:r>
      <w:r>
        <w:rPr>
          <w:rFonts w:hint="default" w:ascii="仿宋_GB2312" w:hAnsi="ˎ̥" w:eastAsia="仿宋_GB2312" w:cs="仿宋_GB2312"/>
          <w:sz w:val="32"/>
          <w:szCs w:val="32"/>
          <w:highlight w:val="none"/>
          <w:lang w:val="en-US"/>
        </w:rPr>
        <w:t>202</w:t>
      </w:r>
      <w:r>
        <w:rPr>
          <w:rFonts w:hint="eastAsia" w:ascii="仿宋_GB2312" w:hAnsi="ˎ̥" w:eastAsia="仿宋_GB2312" w:cs="仿宋_GB2312"/>
          <w:sz w:val="32"/>
          <w:szCs w:val="32"/>
          <w:highlight w:val="none"/>
          <w:lang w:val="en-US" w:eastAsia="zh-CN"/>
        </w:rPr>
        <w:t>2</w:t>
      </w:r>
      <w:r>
        <w:rPr>
          <w:rFonts w:hint="default" w:ascii="仿宋_GB2312" w:hAnsi="ˎ̥" w:eastAsia="仿宋_GB2312" w:cs="仿宋_GB2312"/>
          <w:sz w:val="32"/>
          <w:szCs w:val="32"/>
          <w:highlight w:val="none"/>
        </w:rPr>
        <w:t>年度决算数增加</w:t>
      </w:r>
      <w:r>
        <w:rPr>
          <w:rFonts w:hint="eastAsia" w:ascii="仿宋_GB2312" w:hAnsi="ˎ̥" w:eastAsia="仿宋_GB2312" w:cs="仿宋_GB2312"/>
          <w:sz w:val="32"/>
          <w:szCs w:val="32"/>
          <w:highlight w:val="none"/>
          <w:lang w:val="en-US" w:eastAsia="zh-CN"/>
        </w:rPr>
        <w:t>0</w:t>
      </w:r>
      <w:r>
        <w:rPr>
          <w:rFonts w:hint="default" w:ascii="仿宋_GB2312" w:hAnsi="ˎ̥" w:eastAsia="仿宋_GB2312" w:cs="仿宋_GB2312"/>
          <w:sz w:val="32"/>
          <w:szCs w:val="32"/>
          <w:highlight w:val="none"/>
        </w:rPr>
        <w:t>万元，主要原因</w:t>
      </w:r>
      <w:r>
        <w:rPr>
          <w:rFonts w:hint="eastAsia" w:ascii="仿宋_GB2312" w:hAnsi="ˎ̥" w:eastAsia="仿宋_GB2312" w:cs="仿宋_GB2312"/>
          <w:sz w:val="32"/>
          <w:szCs w:val="32"/>
          <w:highlight w:val="none"/>
          <w:lang w:eastAsia="zh-CN"/>
        </w:rPr>
        <w:t>是没有非财政</w:t>
      </w:r>
      <w:r>
        <w:rPr>
          <w:rFonts w:hint="eastAsia" w:ascii="仿宋_GB2312" w:hAnsi="ˎ̥" w:eastAsia="仿宋_GB2312"/>
          <w:sz w:val="32"/>
          <w:szCs w:val="32"/>
          <w:highlight w:val="none"/>
          <w:lang w:eastAsia="zh-CN"/>
        </w:rPr>
        <w:t>拨款</w:t>
      </w:r>
      <w:r>
        <w:rPr>
          <w:rFonts w:hint="default" w:ascii="仿宋_GB2312" w:hAnsi="ˎ̥" w:eastAsia="仿宋_GB2312" w:cs="仿宋_GB2312"/>
          <w:sz w:val="32"/>
          <w:szCs w:val="32"/>
          <w:highlight w:val="none"/>
        </w:rPr>
        <w:t>。</w:t>
      </w:r>
      <w:r>
        <w:rPr>
          <w:rFonts w:hint="eastAsia" w:ascii="仿宋_GB2312" w:hAnsi="ˎ̥" w:eastAsia="仿宋_GB2312"/>
          <w:sz w:val="32"/>
          <w:szCs w:val="32"/>
          <w:highlight w:val="none"/>
          <w:lang w:eastAsia="zh-CN"/>
        </w:rPr>
        <w:t>年初结转结余</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lang w:val="en-US" w:eastAsia="zh-CN"/>
        </w:rPr>
        <w:t>万元，</w:t>
      </w:r>
      <w:r>
        <w:rPr>
          <w:rFonts w:hint="eastAsia" w:ascii="仿宋_GB2312" w:hAnsi="ˎ̥" w:eastAsia="仿宋_GB2312"/>
          <w:sz w:val="32"/>
          <w:szCs w:val="32"/>
          <w:highlight w:val="none"/>
          <w:lang w:eastAsia="zh-CN"/>
        </w:rPr>
        <w:t>较</w:t>
      </w:r>
      <w:r>
        <w:rPr>
          <w:rFonts w:hint="eastAsia" w:ascii="仿宋_GB2312" w:hAnsi="ˎ̥" w:eastAsia="仿宋_GB2312"/>
          <w:sz w:val="32"/>
          <w:szCs w:val="32"/>
          <w:highlight w:val="none"/>
          <w:lang w:val="en-US" w:eastAsia="zh-CN"/>
        </w:rPr>
        <w:t>2022年度决算数增加了</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default" w:ascii="仿宋_GB2312" w:hAnsi="ˎ̥" w:eastAsia="仿宋_GB2312" w:cs="仿宋_GB2312"/>
          <w:sz w:val="32"/>
          <w:szCs w:val="32"/>
          <w:highlight w:val="none"/>
        </w:rPr>
        <w:t>主要原因是</w:t>
      </w:r>
      <w:r>
        <w:rPr>
          <w:rFonts w:hint="eastAsia" w:ascii="仿宋_GB2312" w:hAnsi="ˎ̥" w:eastAsia="仿宋_GB2312"/>
          <w:sz w:val="32"/>
          <w:szCs w:val="32"/>
          <w:highlight w:val="none"/>
          <w:lang w:eastAsia="zh-CN"/>
        </w:rPr>
        <w:t>财政拨款增加</w:t>
      </w:r>
      <w:r>
        <w:rPr>
          <w:rFonts w:hint="eastAsia" w:ascii="仿宋_GB2312" w:hAnsi="ˎ̥" w:eastAsia="仿宋_GB2312"/>
          <w:sz w:val="32"/>
          <w:szCs w:val="32"/>
          <w:highlight w:val="none"/>
          <w:lang w:val="en-US" w:eastAsia="zh-CN"/>
        </w:rPr>
        <w:t>。</w:t>
      </w:r>
      <w:r>
        <w:rPr>
          <w:rFonts w:ascii="仿宋_GB2312" w:hAnsi="ˎ̥" w:eastAsia="仿宋_GB2312" w:cs="仿宋_GB2312"/>
          <w:sz w:val="32"/>
          <w:szCs w:val="32"/>
          <w:highlight w:val="none"/>
        </w:rPr>
        <w:t>结余分配</w:t>
      </w:r>
      <w:r>
        <w:rPr>
          <w:rFonts w:hint="default" w:ascii="仿宋_GB2312" w:hAnsi="宋体" w:eastAsia="仿宋_GB2312" w:cs="仿宋_GB2312"/>
          <w:sz w:val="32"/>
          <w:szCs w:val="32"/>
          <w:highlight w:val="none"/>
          <w:lang w:val="en-US"/>
        </w:rPr>
        <w:t>0</w:t>
      </w:r>
      <w:r>
        <w:rPr>
          <w:rFonts w:hint="default" w:ascii="仿宋_GB2312" w:hAnsi="ˎ̥" w:eastAsia="仿宋_GB2312" w:cs="仿宋_GB2312"/>
          <w:sz w:val="32"/>
          <w:szCs w:val="32"/>
          <w:highlight w:val="none"/>
        </w:rPr>
        <w:t>万元，较</w:t>
      </w:r>
      <w:r>
        <w:rPr>
          <w:rFonts w:hint="default" w:ascii="仿宋_GB2312" w:hAnsi="ˎ̥" w:eastAsia="仿宋_GB2312" w:cs="仿宋_GB2312"/>
          <w:sz w:val="32"/>
          <w:szCs w:val="32"/>
          <w:highlight w:val="none"/>
          <w:lang w:val="en-US"/>
        </w:rPr>
        <w:t>202</w:t>
      </w:r>
      <w:r>
        <w:rPr>
          <w:rFonts w:hint="eastAsia" w:ascii="仿宋_GB2312" w:hAnsi="ˎ̥" w:eastAsia="仿宋_GB2312" w:cs="仿宋_GB2312"/>
          <w:sz w:val="32"/>
          <w:szCs w:val="32"/>
          <w:highlight w:val="none"/>
          <w:lang w:val="en-US" w:eastAsia="zh-CN"/>
        </w:rPr>
        <w:t>2</w:t>
      </w:r>
      <w:r>
        <w:rPr>
          <w:rFonts w:hint="default" w:ascii="仿宋_GB2312" w:hAnsi="ˎ̥" w:eastAsia="仿宋_GB2312" w:cs="仿宋_GB2312"/>
          <w:sz w:val="32"/>
          <w:szCs w:val="32"/>
          <w:highlight w:val="none"/>
        </w:rPr>
        <w:t>年度决算数增加</w:t>
      </w:r>
      <w:r>
        <w:rPr>
          <w:rFonts w:hint="eastAsia" w:ascii="仿宋_GB2312" w:hAnsi="ˎ̥" w:eastAsia="仿宋_GB2312" w:cs="仿宋_GB2312"/>
          <w:sz w:val="32"/>
          <w:szCs w:val="32"/>
          <w:highlight w:val="none"/>
          <w:lang w:val="en-US" w:eastAsia="zh-CN"/>
        </w:rPr>
        <w:t>0</w:t>
      </w:r>
      <w:r>
        <w:rPr>
          <w:rFonts w:hint="default" w:ascii="仿宋_GB2312" w:hAnsi="ˎ̥" w:eastAsia="仿宋_GB2312" w:cs="仿宋_GB2312"/>
          <w:sz w:val="32"/>
          <w:szCs w:val="32"/>
          <w:highlight w:val="none"/>
        </w:rPr>
        <w:t>万元，增长</w:t>
      </w:r>
      <w:r>
        <w:rPr>
          <w:rFonts w:hint="eastAsia" w:ascii="仿宋_GB2312" w:hAnsi="ˎ̥" w:eastAsia="仿宋_GB2312" w:cs="仿宋_GB2312"/>
          <w:sz w:val="32"/>
          <w:szCs w:val="32"/>
          <w:highlight w:val="none"/>
          <w:lang w:val="en-US" w:eastAsia="zh-CN"/>
        </w:rPr>
        <w:t>0</w:t>
      </w:r>
      <w:r>
        <w:rPr>
          <w:rFonts w:hint="default" w:ascii="仿宋_GB2312" w:hAnsi="ˎ̥" w:eastAsia="仿宋_GB2312" w:cs="仿宋_GB2312"/>
          <w:sz w:val="32"/>
          <w:szCs w:val="32"/>
          <w:highlight w:val="none"/>
          <w:lang w:val="en-US"/>
        </w:rPr>
        <w:t>%</w:t>
      </w:r>
      <w:r>
        <w:rPr>
          <w:rFonts w:hint="default"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eastAsia="zh-CN"/>
        </w:rPr>
        <w:t>没有结</w:t>
      </w:r>
      <w:r>
        <w:rPr>
          <w:rFonts w:ascii="仿宋_GB2312" w:hAnsi="ˎ̥" w:eastAsia="仿宋_GB2312" w:cs="仿宋_GB2312"/>
          <w:sz w:val="32"/>
          <w:szCs w:val="32"/>
          <w:highlight w:val="none"/>
        </w:rPr>
        <w:t>余</w:t>
      </w:r>
      <w:r>
        <w:rPr>
          <w:rFonts w:hint="default" w:ascii="仿宋_GB2312" w:hAnsi="ˎ̥" w:eastAsia="仿宋_GB2312" w:cs="仿宋_GB2312"/>
          <w:sz w:val="32"/>
          <w:szCs w:val="32"/>
          <w:highlight w:val="none"/>
        </w:rPr>
        <w:t>。</w:t>
      </w:r>
      <w:r>
        <w:rPr>
          <w:rFonts w:hint="eastAsia" w:ascii="仿宋_GB2312" w:hAnsi="ˎ̥" w:eastAsia="仿宋_GB2312"/>
          <w:sz w:val="32"/>
          <w:szCs w:val="32"/>
          <w:highlight w:val="none"/>
          <w:lang w:eastAsia="zh-CN"/>
        </w:rPr>
        <w:t>年末结转结余</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，主要是财政拨款结转，较</w:t>
      </w:r>
      <w:r>
        <w:rPr>
          <w:rFonts w:hint="eastAsia" w:ascii="仿宋_GB2312" w:hAnsi="ˎ̥" w:eastAsia="仿宋_GB2312"/>
          <w:sz w:val="32"/>
          <w:szCs w:val="32"/>
          <w:highlight w:val="none"/>
          <w:lang w:val="en-US" w:eastAsia="zh-CN"/>
        </w:rPr>
        <w:t>2022年度决算数下降</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eastAsia" w:ascii="仿宋_GB2312" w:hAnsi="ˎ̥" w:eastAsia="仿宋_GB2312"/>
          <w:sz w:val="32"/>
          <w:szCs w:val="32"/>
          <w:highlight w:val="none"/>
        </w:rPr>
        <w:t>增长</w:t>
      </w:r>
      <w:r>
        <w:rPr>
          <w:rFonts w:hint="default" w:ascii="仿宋_GB2312" w:hAnsi="ˎ̥" w:eastAsia="仿宋_GB2312"/>
          <w:sz w:val="32"/>
          <w:szCs w:val="32"/>
          <w:highlight w:val="none"/>
          <w:lang w:val="en-US"/>
        </w:rPr>
        <w:t>0</w:t>
      </w:r>
      <w:r>
        <w:rPr>
          <w:rFonts w:hint="default"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eastAsia="zh-CN"/>
        </w:rPr>
        <w:t>支出增加了</w:t>
      </w:r>
      <w:r>
        <w:rPr>
          <w:rFonts w:hint="eastAsia" w:ascii="仿宋_GB2312" w:hAnsi="ˎ̥" w:eastAsia="仿宋_GB2312"/>
          <w:sz w:val="32"/>
          <w:szCs w:val="32"/>
          <w:highlight w:val="none"/>
          <w:lang w:eastAsia="zh-CN"/>
        </w:rPr>
        <w:t>。</w:t>
      </w:r>
    </w:p>
    <w:p>
      <w:pPr>
        <w:numPr>
          <w:ilvl w:val="0"/>
          <w:numId w:val="0"/>
        </w:num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收入决算情况说明</w:t>
      </w:r>
    </w:p>
    <w:p>
      <w:pPr>
        <w:numPr>
          <w:ilvl w:val="0"/>
          <w:numId w:val="0"/>
        </w:numPr>
        <w:ind w:firstLine="640" w:firstLineChars="200"/>
        <w:rPr>
          <w:rFonts w:hint="eastAsia" w:ascii="仿宋_GB2312" w:hAnsi="ˎ̥" w:eastAsia="仿宋_GB2312"/>
          <w:sz w:val="32"/>
          <w:szCs w:val="32"/>
          <w:highlight w:val="none"/>
          <w:lang w:val="en-US" w:eastAsia="zh-CN"/>
        </w:rPr>
      </w:pPr>
      <w:r>
        <w:rPr>
          <w:rFonts w:hint="eastAsia" w:ascii="仿宋_GB2312" w:hAnsi="ˎ̥" w:eastAsia="仿宋_GB2312"/>
          <w:sz w:val="32"/>
          <w:szCs w:val="32"/>
          <w:highlight w:val="none"/>
        </w:rPr>
        <w:t>本年收入合计</w:t>
      </w:r>
      <w:r>
        <w:rPr>
          <w:rFonts w:hint="eastAsia" w:ascii="仿宋_GB2312" w:hAnsi="ˎ̥" w:eastAsia="仿宋_GB2312"/>
          <w:sz w:val="32"/>
          <w:szCs w:val="32"/>
          <w:highlight w:val="none"/>
          <w:lang w:val="en-US" w:eastAsia="zh-CN"/>
        </w:rPr>
        <w:t>232.46</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eastAsia" w:ascii="仿宋_GB2312" w:hAnsi="ˎ̥" w:eastAsia="仿宋_GB2312"/>
          <w:sz w:val="32"/>
          <w:szCs w:val="32"/>
          <w:highlight w:val="none"/>
        </w:rPr>
        <w:t>其中：财政拨款收入</w:t>
      </w:r>
      <w:r>
        <w:rPr>
          <w:rFonts w:hint="eastAsia" w:ascii="仿宋_GB2312" w:hAnsi="ˎ̥" w:eastAsia="仿宋_GB2312"/>
          <w:sz w:val="32"/>
          <w:szCs w:val="32"/>
          <w:highlight w:val="none"/>
          <w:lang w:val="en-US" w:eastAsia="zh-CN"/>
        </w:rPr>
        <w:t>225.35</w:t>
      </w:r>
      <w:r>
        <w:rPr>
          <w:rFonts w:hint="eastAsia" w:ascii="仿宋_GB2312" w:hAnsi="ˎ̥" w:eastAsia="仿宋_GB2312"/>
          <w:sz w:val="32"/>
          <w:szCs w:val="32"/>
        </w:rPr>
        <w:t>万元，占</w:t>
      </w:r>
      <w:r>
        <w:rPr>
          <w:rFonts w:hint="default" w:ascii="仿宋_GB2312" w:hAnsi="ˎ̥" w:eastAsia="仿宋_GB2312"/>
          <w:sz w:val="32"/>
          <w:szCs w:val="32"/>
          <w:lang w:val="en-US"/>
        </w:rPr>
        <w:t>9</w:t>
      </w:r>
      <w:r>
        <w:rPr>
          <w:rFonts w:hint="eastAsia" w:ascii="仿宋_GB2312" w:hAnsi="ˎ̥" w:eastAsia="仿宋_GB2312"/>
          <w:sz w:val="32"/>
          <w:szCs w:val="32"/>
          <w:lang w:val="en-US" w:eastAsia="zh-CN"/>
        </w:rPr>
        <w:t>7</w:t>
      </w:r>
      <w:r>
        <w:rPr>
          <w:rFonts w:hint="eastAsia" w:ascii="仿宋_GB2312" w:hAnsi="ˎ̥" w:eastAsia="仿宋_GB2312"/>
          <w:sz w:val="32"/>
          <w:szCs w:val="32"/>
        </w:rPr>
        <w:t>%；上级补助收入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%；事业收入</w:t>
      </w:r>
      <w:r>
        <w:rPr>
          <w:rFonts w:hint="default" w:ascii="仿宋_GB2312" w:hAnsi="ˎ̥" w:eastAsia="仿宋_GB2312"/>
          <w:sz w:val="32"/>
          <w:szCs w:val="32"/>
          <w:lang w:val="en-US"/>
        </w:rPr>
        <w:t>0</w:t>
      </w:r>
      <w:r>
        <w:rPr>
          <w:rFonts w:hint="eastAsia" w:ascii="仿宋_GB2312" w:hAnsi="ˎ̥" w:eastAsia="仿宋_GB2312"/>
          <w:sz w:val="32"/>
          <w:szCs w:val="32"/>
        </w:rPr>
        <w:t>万元，占</w:t>
      </w:r>
      <w:r>
        <w:rPr>
          <w:rFonts w:hint="default" w:ascii="仿宋_GB2312" w:hAnsi="ˎ̥" w:eastAsia="仿宋_GB2312"/>
          <w:sz w:val="32"/>
          <w:szCs w:val="32"/>
          <w:lang w:val="en-US"/>
        </w:rPr>
        <w:t>0</w:t>
      </w:r>
      <w:r>
        <w:rPr>
          <w:rFonts w:hint="eastAsia" w:ascii="仿宋_GB2312" w:hAnsi="ˎ̥" w:eastAsia="仿宋_GB2312"/>
          <w:sz w:val="32"/>
          <w:szCs w:val="32"/>
        </w:rPr>
        <w:t>%；经营收入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%；附属单位上缴收入</w:t>
      </w:r>
      <w:r>
        <w:rPr>
          <w:rFonts w:hint="eastAsia" w:ascii="仿宋_GB2312" w:hAnsi="ˎ̥" w:eastAsia="仿宋_GB2312"/>
          <w:sz w:val="32"/>
          <w:szCs w:val="32"/>
          <w:lang w:val="en-US" w:eastAsia="zh-CN"/>
        </w:rPr>
        <w:t>0</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highlight w:val="none"/>
        </w:rPr>
        <w:t>%；其他收入</w:t>
      </w:r>
      <w:r>
        <w:rPr>
          <w:rFonts w:hint="eastAsia" w:ascii="仿宋_GB2312" w:hAnsi="ˎ̥" w:eastAsia="仿宋_GB2312"/>
          <w:sz w:val="32"/>
          <w:szCs w:val="32"/>
          <w:highlight w:val="none"/>
          <w:lang w:val="en-US" w:eastAsia="zh-CN"/>
        </w:rPr>
        <w:t>7.11</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3.1</w:t>
      </w:r>
      <w:r>
        <w:rPr>
          <w:rFonts w:hint="eastAsia" w:ascii="仿宋_GB2312" w:hAnsi="ˎ̥" w:eastAsia="仿宋_GB2312"/>
          <w:sz w:val="32"/>
          <w:szCs w:val="32"/>
          <w:highlight w:val="none"/>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highlight w:val="none"/>
        </w:rPr>
        <w:t>本年支出合计</w:t>
      </w:r>
      <w:r>
        <w:rPr>
          <w:rFonts w:hint="eastAsia" w:ascii="仿宋_GB2312" w:hAnsi="ˎ̥" w:eastAsia="仿宋_GB2312"/>
          <w:sz w:val="32"/>
          <w:szCs w:val="32"/>
          <w:highlight w:val="none"/>
          <w:lang w:val="en-US" w:eastAsia="zh-CN"/>
        </w:rPr>
        <w:t>232.46</w:t>
      </w:r>
      <w:r>
        <w:rPr>
          <w:rFonts w:hint="eastAsia" w:ascii="仿宋_GB2312" w:hAnsi="ˎ̥" w:eastAsia="仿宋_GB2312"/>
          <w:sz w:val="32"/>
          <w:szCs w:val="32"/>
          <w:highlight w:val="none"/>
        </w:rPr>
        <w:t>万元</w:t>
      </w:r>
      <w:r>
        <w:rPr>
          <w:rFonts w:hint="eastAsia" w:ascii="仿宋_GB2312" w:hAnsi="ˎ̥" w:eastAsia="仿宋_GB2312"/>
          <w:sz w:val="32"/>
          <w:szCs w:val="32"/>
        </w:rPr>
        <w:t>，其中：基本支</w:t>
      </w:r>
      <w:r>
        <w:rPr>
          <w:rFonts w:hint="eastAsia" w:ascii="仿宋_GB2312" w:hAnsi="ˎ̥" w:eastAsia="仿宋_GB2312"/>
          <w:sz w:val="32"/>
          <w:szCs w:val="32"/>
          <w:lang w:val="en-US" w:eastAsia="zh-CN"/>
        </w:rPr>
        <w:t>出</w:t>
      </w:r>
      <w:r>
        <w:rPr>
          <w:rFonts w:hint="default" w:ascii="仿宋_GB2312" w:hAnsi="ˎ̥" w:eastAsia="仿宋_GB2312"/>
          <w:sz w:val="32"/>
          <w:szCs w:val="32"/>
          <w:lang w:val="en-US" w:eastAsia="zh-CN"/>
        </w:rPr>
        <w:t>6</w:t>
      </w:r>
      <w:r>
        <w:rPr>
          <w:rFonts w:hint="eastAsia" w:ascii="仿宋_GB2312" w:hAnsi="ˎ̥" w:eastAsia="仿宋_GB2312"/>
          <w:sz w:val="32"/>
          <w:szCs w:val="32"/>
          <w:lang w:val="en-US" w:eastAsia="zh-CN"/>
        </w:rPr>
        <w:t>2.72万</w:t>
      </w:r>
      <w:r>
        <w:rPr>
          <w:rFonts w:hint="eastAsia" w:ascii="仿宋_GB2312" w:hAnsi="ˎ̥" w:eastAsia="仿宋_GB2312"/>
          <w:sz w:val="32"/>
          <w:szCs w:val="32"/>
        </w:rPr>
        <w:t>万元，占</w:t>
      </w:r>
      <w:r>
        <w:rPr>
          <w:rFonts w:hint="default" w:ascii="仿宋_GB2312" w:hAnsi="ˎ̥" w:eastAsia="仿宋_GB2312"/>
          <w:sz w:val="32"/>
          <w:szCs w:val="32"/>
          <w:lang w:val="en-US"/>
        </w:rPr>
        <w:t>27</w:t>
      </w:r>
      <w:r>
        <w:rPr>
          <w:rFonts w:hint="eastAsia" w:ascii="仿宋_GB2312" w:hAnsi="ˎ̥" w:eastAsia="仿宋_GB2312"/>
          <w:sz w:val="32"/>
          <w:szCs w:val="32"/>
        </w:rPr>
        <w:t>%；项目支出</w:t>
      </w:r>
      <w:r>
        <w:rPr>
          <w:rFonts w:hint="eastAsia" w:ascii="仿宋_GB2312" w:hAnsi="ˎ̥" w:eastAsia="仿宋_GB2312"/>
          <w:sz w:val="32"/>
          <w:szCs w:val="32"/>
          <w:lang w:val="en-US" w:eastAsia="zh-CN"/>
        </w:rPr>
        <w:t>169.74</w:t>
      </w:r>
      <w:r>
        <w:rPr>
          <w:rFonts w:hint="eastAsia" w:ascii="仿宋_GB2312" w:hAnsi="ˎ̥" w:eastAsia="仿宋_GB2312"/>
          <w:sz w:val="32"/>
          <w:szCs w:val="32"/>
        </w:rPr>
        <w:t>万元，占</w:t>
      </w:r>
      <w:r>
        <w:rPr>
          <w:rFonts w:hint="default" w:ascii="仿宋_GB2312" w:hAnsi="ˎ̥" w:eastAsia="仿宋_GB2312"/>
          <w:sz w:val="32"/>
          <w:szCs w:val="32"/>
          <w:lang w:val="en-US"/>
        </w:rPr>
        <w:t>7</w:t>
      </w:r>
      <w:r>
        <w:rPr>
          <w:rFonts w:hint="eastAsia" w:ascii="仿宋_GB2312" w:hAnsi="ˎ̥" w:eastAsia="仿宋_GB2312"/>
          <w:sz w:val="32"/>
          <w:szCs w:val="32"/>
          <w:lang w:val="en-US" w:eastAsia="zh-CN"/>
        </w:rPr>
        <w:t>3</w:t>
      </w:r>
      <w:r>
        <w:rPr>
          <w:rFonts w:hint="eastAsia" w:ascii="仿宋_GB2312" w:hAnsi="ˎ̥" w:eastAsia="仿宋_GB2312"/>
          <w:sz w:val="32"/>
          <w:szCs w:val="32"/>
        </w:rPr>
        <w:t>%；上缴上级支出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%；对附属单位补助支出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rPr>
          <w:rFonts w:hint="eastAsia" w:ascii="仿宋_GB2312" w:hAnsi="ˎ̥" w:eastAsia="仿宋_GB2312"/>
          <w:sz w:val="32"/>
          <w:szCs w:val="32"/>
          <w:lang w:val="en-US" w:eastAsia="zh-CN"/>
        </w:rPr>
      </w:pP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highlight w:val="none"/>
          <w:lang w:eastAsia="zh-CN"/>
        </w:rPr>
        <w:t>四、</w:t>
      </w:r>
      <w:r>
        <w:rPr>
          <w:rFonts w:hint="eastAsia" w:ascii="黑体" w:hAnsi="黑体" w:eastAsia="黑体" w:cs="黑体"/>
          <w:b w:val="0"/>
          <w:bCs/>
          <w:sz w:val="32"/>
          <w:szCs w:val="32"/>
          <w:highlight w:val="none"/>
        </w:rPr>
        <w:t>财政拨款收入支出决算总体</w:t>
      </w:r>
      <w:r>
        <w:rPr>
          <w:rFonts w:hint="eastAsia" w:ascii="黑体" w:hAnsi="黑体" w:eastAsia="黑体" w:cs="黑体"/>
          <w:b w:val="0"/>
          <w:bCs/>
          <w:sz w:val="32"/>
          <w:szCs w:val="32"/>
        </w:rPr>
        <w:t>情况说明</w:t>
      </w:r>
    </w:p>
    <w:p>
      <w:pPr>
        <w:ind w:firstLine="640" w:firstLineChars="200"/>
        <w:rPr>
          <w:rFonts w:hint="eastAsia" w:ascii="仿宋_GB2312" w:hAnsi="ˎ̥" w:eastAsia="仿宋_GB2312"/>
          <w:sz w:val="32"/>
          <w:szCs w:val="32"/>
          <w:highlight w:val="none"/>
        </w:rPr>
      </w:pPr>
      <w:r>
        <w:rPr>
          <w:rFonts w:hint="eastAsia" w:ascii="仿宋_GB2312" w:hAnsi="ˎ̥" w:eastAsia="仿宋_GB2312" w:cs="仿宋_GB2312"/>
          <w:sz w:val="32"/>
          <w:szCs w:val="32"/>
          <w:highlight w:val="none"/>
          <w:lang w:val="en-US" w:eastAsia="zh-CN"/>
        </w:rPr>
        <w:t>2023年度财政拨款收入总计232.46万元，支出总计232.46万元。与2022年度相比，财政拨款收入、支出总计各增加5.71万元，增加0.9</w:t>
      </w:r>
      <w:r>
        <w:rPr>
          <w:rFonts w:hint="default" w:ascii="仿宋_GB2312" w:hAnsi="ˎ̥" w:eastAsia="仿宋_GB2312" w:cs="仿宋_GB2312"/>
          <w:sz w:val="32"/>
          <w:szCs w:val="32"/>
          <w:highlight w:val="none"/>
          <w:lang w:val="en-US" w:eastAsia="zh-CN"/>
        </w:rPr>
        <w:t>%</w:t>
      </w:r>
      <w:r>
        <w:rPr>
          <w:rFonts w:hint="eastAsia" w:ascii="仿宋_GB2312" w:hAnsi="ˎ̥" w:eastAsia="仿宋_GB2312" w:cs="仿宋_GB2312"/>
          <w:sz w:val="32"/>
          <w:szCs w:val="32"/>
          <w:highlight w:val="none"/>
          <w:lang w:val="en-US" w:eastAsia="zh-CN"/>
        </w:rPr>
        <w:t>。主要原因：一是</w:t>
      </w:r>
      <w:r>
        <w:rPr>
          <w:rFonts w:hint="eastAsia" w:ascii="仿宋_GB2312" w:hAnsi="ˎ̥" w:eastAsia="仿宋_GB2312"/>
          <w:sz w:val="32"/>
          <w:szCs w:val="32"/>
          <w:highlight w:val="none"/>
          <w:lang w:eastAsia="zh-CN"/>
        </w:rPr>
        <w:t>财政拨款增加和</w:t>
      </w:r>
      <w:r>
        <w:rPr>
          <w:rFonts w:hint="eastAsia" w:ascii="仿宋_GB2312" w:hAnsi="ˎ̥" w:eastAsia="仿宋_GB2312" w:cs="仿宋_GB2312"/>
          <w:sz w:val="32"/>
          <w:szCs w:val="32"/>
          <w:highlight w:val="none"/>
          <w:lang w:val="en-US" w:eastAsia="zh-CN"/>
        </w:rPr>
        <w:t>年初财政拨款结转和结余增加；二是</w:t>
      </w:r>
      <w:r>
        <w:rPr>
          <w:rFonts w:hint="eastAsia" w:ascii="仿宋_GB2312" w:hAnsi="ˎ̥" w:eastAsia="仿宋_GB2312"/>
          <w:sz w:val="32"/>
          <w:szCs w:val="32"/>
          <w:highlight w:val="none"/>
        </w:rPr>
        <w:t>是</w:t>
      </w:r>
      <w:r>
        <w:rPr>
          <w:rFonts w:hint="eastAsia" w:ascii="仿宋_GB2312" w:hAnsi="ˎ̥" w:eastAsia="仿宋_GB2312"/>
          <w:sz w:val="32"/>
          <w:szCs w:val="32"/>
          <w:highlight w:val="none"/>
          <w:lang w:eastAsia="zh-CN"/>
        </w:rPr>
        <w:t>教育支出、社会保障和就业支出、卫生支出、住房保障支出</w:t>
      </w:r>
      <w:r>
        <w:rPr>
          <w:rFonts w:hint="eastAsia" w:ascii="仿宋_GB2312" w:hAnsi="ˎ̥" w:eastAsia="仿宋_GB2312"/>
          <w:sz w:val="32"/>
          <w:szCs w:val="32"/>
          <w:highlight w:val="none"/>
          <w:lang w:val="en-US" w:eastAsia="zh-CN"/>
        </w:rPr>
        <w:t>增加</w:t>
      </w:r>
      <w:r>
        <w:rPr>
          <w:rFonts w:hint="eastAsia" w:ascii="仿宋_GB2312" w:hAnsi="ˎ̥" w:eastAsia="仿宋_GB2312" w:cs="仿宋_GB2312"/>
          <w:sz w:val="32"/>
          <w:szCs w:val="32"/>
          <w:highlight w:val="none"/>
          <w:lang w:val="en-US" w:eastAsia="zh-CN"/>
        </w:rPr>
        <w:t>。)</w:t>
      </w:r>
    </w:p>
    <w:p>
      <w:pPr>
        <w:ind w:firstLine="640" w:firstLineChars="200"/>
        <w:rPr>
          <w:rFonts w:hint="eastAsia" w:ascii="仿宋_GB2312" w:hAnsi="ˎ̥" w:eastAsia="仿宋_GB2312"/>
          <w:sz w:val="32"/>
          <w:szCs w:val="32"/>
          <w:highlight w:val="none"/>
          <w:lang w:val="en-US" w:eastAsia="zh-CN"/>
        </w:rPr>
      </w:pPr>
      <w:r>
        <w:rPr>
          <w:rFonts w:hint="eastAsia" w:ascii="仿宋_GB2312" w:hAnsi="ˎ̥" w:eastAsia="仿宋_GB2312"/>
          <w:sz w:val="32"/>
          <w:szCs w:val="32"/>
          <w:highlight w:val="none"/>
          <w:lang w:eastAsia="zh-CN"/>
        </w:rPr>
        <w:t>财政拨款年初结转结余</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，主要是教育支出，较</w:t>
      </w:r>
      <w:r>
        <w:rPr>
          <w:rFonts w:hint="eastAsia" w:ascii="仿宋_GB2312" w:hAnsi="ˎ̥" w:eastAsia="仿宋_GB2312"/>
          <w:sz w:val="32"/>
          <w:szCs w:val="32"/>
          <w:highlight w:val="none"/>
          <w:lang w:val="en-US" w:eastAsia="zh-CN"/>
        </w:rPr>
        <w:t>2022年度决算数下降了0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eastAsia" w:ascii="仿宋_GB2312" w:hAnsi="ˎ̥" w:eastAsia="仿宋_GB2312"/>
          <w:sz w:val="32"/>
          <w:szCs w:val="32"/>
          <w:highlight w:val="none"/>
          <w:lang w:val="en-US" w:eastAsia="zh-CN"/>
        </w:rPr>
        <w:t>下降0</w:t>
      </w:r>
      <w:r>
        <w:rPr>
          <w:rFonts w:hint="default" w:ascii="仿宋_GB2312" w:hAnsi="ˎ̥" w:eastAsia="仿宋_GB2312"/>
          <w:sz w:val="32"/>
          <w:szCs w:val="32"/>
          <w:highlight w:val="none"/>
          <w:lang w:val="en-US" w:eastAsia="zh-CN"/>
        </w:rPr>
        <w:t>%</w:t>
      </w:r>
      <w:r>
        <w:rPr>
          <w:rFonts w:hint="eastAsia" w:ascii="仿宋_GB2312" w:hAnsi="ˎ̥" w:eastAsia="仿宋_GB2312"/>
          <w:sz w:val="32"/>
          <w:szCs w:val="32"/>
          <w:highlight w:val="none"/>
          <w:lang w:val="en-US" w:eastAsia="zh-CN"/>
        </w:rPr>
        <w:t>。</w:t>
      </w:r>
    </w:p>
    <w:p>
      <w:pPr>
        <w:ind w:firstLine="640" w:firstLineChars="200"/>
        <w:rPr>
          <w:rFonts w:hint="eastAsia" w:ascii="仿宋_GB2312" w:hAnsi="ˎ̥" w:eastAsia="仿宋_GB2312"/>
          <w:sz w:val="32"/>
          <w:szCs w:val="32"/>
          <w:highlight w:val="none"/>
          <w:lang w:val="en-US" w:eastAsia="zh-CN"/>
        </w:rPr>
      </w:pPr>
      <w:r>
        <w:rPr>
          <w:rFonts w:hint="eastAsia" w:ascii="仿宋_GB2312" w:hAnsi="ˎ̥" w:eastAsia="仿宋_GB2312"/>
          <w:sz w:val="32"/>
          <w:szCs w:val="32"/>
          <w:highlight w:val="none"/>
          <w:lang w:eastAsia="zh-CN"/>
        </w:rPr>
        <w:t>财政拨款年末结转结余</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，主要是教育支出，较</w:t>
      </w:r>
      <w:r>
        <w:rPr>
          <w:rFonts w:hint="eastAsia" w:ascii="仿宋_GB2312" w:hAnsi="ˎ̥" w:eastAsia="仿宋_GB2312"/>
          <w:sz w:val="32"/>
          <w:szCs w:val="32"/>
          <w:highlight w:val="none"/>
          <w:lang w:val="en-US" w:eastAsia="zh-CN"/>
        </w:rPr>
        <w:t>2022年度年末决算数下降</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eastAsia" w:ascii="仿宋_GB2312" w:hAnsi="ˎ̥" w:eastAsia="仿宋_GB2312"/>
          <w:sz w:val="32"/>
          <w:szCs w:val="32"/>
          <w:highlight w:val="none"/>
          <w:lang w:val="en-US" w:eastAsia="zh-CN"/>
        </w:rPr>
        <w:t>下降</w:t>
      </w:r>
      <w:r>
        <w:rPr>
          <w:rFonts w:hint="default" w:ascii="仿宋_GB2312" w:hAnsi="ˎ̥" w:eastAsia="仿宋_GB2312"/>
          <w:sz w:val="32"/>
          <w:szCs w:val="32"/>
          <w:highlight w:val="none"/>
          <w:lang w:val="en-US" w:eastAsia="zh-CN"/>
        </w:rPr>
        <w:t>0</w:t>
      </w:r>
      <w:r>
        <w:rPr>
          <w:rFonts w:hint="eastAsia" w:ascii="仿宋_GB2312" w:hAnsi="ˎ̥" w:eastAsia="仿宋_GB2312"/>
          <w:sz w:val="32"/>
          <w:szCs w:val="32"/>
          <w:highlight w:val="none"/>
        </w:rPr>
        <w:t>%</w:t>
      </w:r>
      <w:r>
        <w:rPr>
          <w:rFonts w:hint="eastAsia" w:ascii="仿宋_GB2312" w:hAnsi="ˎ̥" w:eastAsia="仿宋_GB2312"/>
          <w:sz w:val="32"/>
          <w:szCs w:val="32"/>
          <w:highlight w:val="none"/>
          <w:lang w:eastAsia="zh-CN"/>
        </w:rPr>
        <w:t>。</w:t>
      </w:r>
    </w:p>
    <w:p>
      <w:pPr>
        <w:ind w:firstLine="627" w:firstLineChars="196"/>
        <w:rPr>
          <w:rFonts w:hint="eastAsia" w:ascii="黑体" w:hAnsi="黑体" w:eastAsia="黑体" w:cs="黑体"/>
          <w:b w:val="0"/>
          <w:bCs/>
          <w:sz w:val="32"/>
          <w:szCs w:val="32"/>
          <w:highlight w:val="none"/>
          <w:lang w:eastAsia="zh-CN"/>
        </w:rPr>
      </w:pPr>
      <w:r>
        <w:rPr>
          <w:rFonts w:hint="eastAsia" w:ascii="黑体" w:hAnsi="黑体" w:eastAsia="黑体" w:cs="黑体"/>
          <w:b w:val="0"/>
          <w:bCs/>
          <w:sz w:val="32"/>
          <w:szCs w:val="32"/>
          <w:highlight w:val="none"/>
          <w:lang w:eastAsia="zh-CN"/>
        </w:rPr>
        <w:t>五、</w:t>
      </w:r>
      <w:r>
        <w:rPr>
          <w:rFonts w:hint="eastAsia" w:ascii="黑体" w:hAnsi="黑体" w:eastAsia="黑体" w:cs="黑体"/>
          <w:b w:val="0"/>
          <w:bCs/>
          <w:sz w:val="32"/>
          <w:szCs w:val="32"/>
          <w:highlight w:val="none"/>
        </w:rPr>
        <w:t>一般公共预算财政拨款支出决算情况说明</w:t>
      </w:r>
    </w:p>
    <w:p>
      <w:pPr>
        <w:ind w:firstLine="640" w:firstLineChars="200"/>
        <w:rPr>
          <w:rFonts w:hint="eastAsia" w:ascii="楷体" w:hAnsi="楷体" w:eastAsia="楷体" w:cs="楷体"/>
          <w:sz w:val="32"/>
          <w:szCs w:val="32"/>
          <w:highlight w:val="none"/>
          <w:lang w:eastAsia="zh-CN"/>
        </w:rPr>
      </w:pPr>
      <w:bookmarkStart w:id="77" w:name="_Toc9989_WPSOffice_Level2"/>
      <w:bookmarkEnd w:id="77"/>
      <w:bookmarkStart w:id="78" w:name="_Toc19665_WPSOffice_Level2"/>
      <w:bookmarkEnd w:id="78"/>
      <w:bookmarkStart w:id="79" w:name="_Toc23005_WPSOffice_Level2"/>
      <w:bookmarkEnd w:id="79"/>
      <w:bookmarkStart w:id="80" w:name="_Toc17398_WPSOffice_Level2"/>
      <w:bookmarkEnd w:id="80"/>
      <w:bookmarkStart w:id="81" w:name="_Toc21737_WPSOffice_Level2"/>
      <w:bookmarkEnd w:id="81"/>
      <w:bookmarkStart w:id="82" w:name="_Toc13694_WPSOffice_Level2"/>
      <w:bookmarkEnd w:id="82"/>
      <w:r>
        <w:rPr>
          <w:rFonts w:hint="eastAsia" w:ascii="楷体" w:hAnsi="楷体" w:eastAsia="楷体" w:cs="楷体"/>
          <w:sz w:val="32"/>
          <w:szCs w:val="32"/>
          <w:highlight w:val="none"/>
          <w:lang w:val="en-US" w:eastAsia="zh-CN"/>
        </w:rPr>
        <w:t>（一）</w:t>
      </w:r>
      <w:r>
        <w:rPr>
          <w:rFonts w:hint="eastAsia" w:ascii="楷体" w:hAnsi="楷体" w:eastAsia="楷体" w:cs="楷体"/>
          <w:sz w:val="32"/>
          <w:szCs w:val="32"/>
          <w:highlight w:val="none"/>
        </w:rPr>
        <w:t>一般公共预算财政拨款支出决算总体情况</w:t>
      </w:r>
      <w:r>
        <w:rPr>
          <w:rFonts w:hint="eastAsia" w:ascii="楷体" w:hAnsi="楷体" w:eastAsia="楷体" w:cs="楷体"/>
          <w:sz w:val="32"/>
          <w:szCs w:val="32"/>
          <w:highlight w:val="none"/>
          <w:lang w:eastAsia="zh-CN"/>
        </w:rPr>
        <w:t>。</w:t>
      </w:r>
    </w:p>
    <w:p>
      <w:pPr>
        <w:ind w:firstLine="640" w:firstLineChars="200"/>
        <w:rPr>
          <w:rFonts w:hint="eastAsia" w:ascii="仿宋_GB2312" w:hAnsi="ˎ̥" w:eastAsia="仿宋_GB2312"/>
          <w:sz w:val="32"/>
          <w:szCs w:val="32"/>
          <w:highlight w:val="none"/>
        </w:rPr>
      </w:pPr>
      <w:r>
        <w:rPr>
          <w:rFonts w:hint="eastAsia" w:ascii="仿宋_GB2312" w:hAnsi="ˎ̥" w:eastAsia="仿宋_GB2312"/>
          <w:sz w:val="32"/>
          <w:szCs w:val="32"/>
          <w:highlight w:val="none"/>
          <w:lang w:eastAsia="zh-CN"/>
        </w:rPr>
        <w:t>202</w:t>
      </w:r>
      <w:r>
        <w:rPr>
          <w:rFonts w:hint="eastAsia" w:ascii="仿宋_GB2312" w:hAnsi="ˎ̥" w:eastAsia="仿宋_GB2312"/>
          <w:sz w:val="32"/>
          <w:szCs w:val="32"/>
          <w:highlight w:val="none"/>
          <w:lang w:val="en-US" w:eastAsia="zh-CN"/>
        </w:rPr>
        <w:t>3</w:t>
      </w:r>
      <w:r>
        <w:rPr>
          <w:rFonts w:hint="eastAsia" w:ascii="仿宋_GB2312" w:hAnsi="ˎ̥" w:eastAsia="仿宋_GB2312"/>
          <w:sz w:val="32"/>
          <w:szCs w:val="32"/>
          <w:highlight w:val="none"/>
          <w:lang w:eastAsia="zh-CN"/>
        </w:rPr>
        <w:t>年度</w:t>
      </w:r>
      <w:r>
        <w:rPr>
          <w:rFonts w:hint="eastAsia" w:ascii="仿宋_GB2312" w:hAnsi="ˎ̥" w:eastAsia="仿宋_GB2312"/>
          <w:sz w:val="32"/>
          <w:szCs w:val="32"/>
          <w:highlight w:val="none"/>
        </w:rPr>
        <w:t>一般公共预算财政拨款支出</w:t>
      </w:r>
      <w:r>
        <w:rPr>
          <w:rFonts w:hint="eastAsia" w:ascii="仿宋_GB2312" w:hAnsi="ˎ̥" w:eastAsia="仿宋_GB2312"/>
          <w:sz w:val="32"/>
          <w:szCs w:val="32"/>
          <w:highlight w:val="none"/>
          <w:lang w:val="en-US" w:eastAsia="zh-CN"/>
        </w:rPr>
        <w:t>2</w:t>
      </w:r>
      <w:r>
        <w:rPr>
          <w:rFonts w:hint="default" w:ascii="仿宋_GB2312" w:hAnsi="ˎ̥" w:eastAsia="仿宋_GB2312"/>
          <w:sz w:val="32"/>
          <w:szCs w:val="32"/>
          <w:highlight w:val="none"/>
          <w:lang w:val="en-US" w:eastAsia="zh-CN"/>
        </w:rPr>
        <w:t>2</w:t>
      </w:r>
      <w:r>
        <w:rPr>
          <w:rFonts w:hint="eastAsia" w:ascii="仿宋_GB2312" w:hAnsi="ˎ̥" w:eastAsia="仿宋_GB2312"/>
          <w:sz w:val="32"/>
          <w:szCs w:val="32"/>
          <w:highlight w:val="none"/>
          <w:lang w:val="en-US" w:eastAsia="zh-CN"/>
        </w:rPr>
        <w:t>5.35</w:t>
      </w:r>
      <w:r>
        <w:rPr>
          <w:rFonts w:hint="eastAsia" w:ascii="仿宋_GB2312" w:hAnsi="ˎ̥" w:eastAsia="仿宋_GB2312"/>
          <w:sz w:val="32"/>
          <w:szCs w:val="32"/>
          <w:highlight w:val="none"/>
        </w:rPr>
        <w:t>万元，占本年支出合计的</w:t>
      </w:r>
      <w:r>
        <w:rPr>
          <w:rFonts w:hint="eastAsia" w:ascii="仿宋_GB2312" w:hAnsi="ˎ̥" w:eastAsia="仿宋_GB2312"/>
          <w:sz w:val="32"/>
          <w:szCs w:val="32"/>
          <w:highlight w:val="none"/>
          <w:lang w:val="en-US" w:eastAsia="zh-CN"/>
        </w:rPr>
        <w:t>97</w:t>
      </w:r>
      <w:r>
        <w:rPr>
          <w:rFonts w:hint="eastAsia" w:ascii="仿宋_GB2312" w:hAnsi="ˎ̥" w:eastAsia="仿宋_GB2312"/>
          <w:sz w:val="32"/>
          <w:szCs w:val="32"/>
          <w:highlight w:val="none"/>
        </w:rPr>
        <w:t>%。与</w:t>
      </w:r>
      <w:r>
        <w:rPr>
          <w:rFonts w:hint="eastAsia" w:ascii="仿宋_GB2312" w:hAnsi="ˎ̥" w:eastAsia="仿宋_GB2312"/>
          <w:sz w:val="32"/>
          <w:szCs w:val="32"/>
          <w:highlight w:val="none"/>
          <w:lang w:eastAsia="zh-CN"/>
        </w:rPr>
        <w:t>20</w:t>
      </w:r>
      <w:r>
        <w:rPr>
          <w:rFonts w:hint="eastAsia" w:ascii="仿宋_GB2312" w:hAnsi="ˎ̥" w:eastAsia="仿宋_GB2312"/>
          <w:sz w:val="32"/>
          <w:szCs w:val="32"/>
          <w:highlight w:val="none"/>
          <w:lang w:val="en-US" w:eastAsia="zh-CN"/>
        </w:rPr>
        <w:t>22</w:t>
      </w:r>
      <w:r>
        <w:rPr>
          <w:rFonts w:hint="eastAsia" w:ascii="仿宋_GB2312" w:hAnsi="ˎ̥" w:eastAsia="仿宋_GB2312"/>
          <w:sz w:val="32"/>
          <w:szCs w:val="32"/>
          <w:highlight w:val="none"/>
          <w:lang w:eastAsia="zh-CN"/>
        </w:rPr>
        <w:t>年度</w:t>
      </w:r>
      <w:r>
        <w:rPr>
          <w:rFonts w:hint="eastAsia" w:ascii="仿宋_GB2312" w:hAnsi="ˎ̥" w:eastAsia="仿宋_GB2312"/>
          <w:sz w:val="32"/>
          <w:szCs w:val="32"/>
          <w:highlight w:val="none"/>
        </w:rPr>
        <w:t>相比，</w:t>
      </w:r>
      <w:r>
        <w:rPr>
          <w:rFonts w:hint="eastAsia" w:ascii="仿宋_GB2312" w:hAnsi="ˎ̥" w:eastAsia="仿宋_GB2312"/>
          <w:sz w:val="32"/>
          <w:szCs w:val="32"/>
          <w:highlight w:val="none"/>
          <w:lang w:eastAsia="zh-CN"/>
        </w:rPr>
        <w:t>一般公共预算</w:t>
      </w:r>
      <w:r>
        <w:rPr>
          <w:rFonts w:hint="eastAsia" w:ascii="仿宋_GB2312" w:hAnsi="ˎ̥" w:eastAsia="仿宋_GB2312"/>
          <w:sz w:val="32"/>
          <w:szCs w:val="32"/>
          <w:highlight w:val="none"/>
        </w:rPr>
        <w:t>财政拨款支出</w:t>
      </w:r>
      <w:r>
        <w:rPr>
          <w:rFonts w:hint="eastAsia" w:ascii="仿宋_GB2312" w:hAnsi="ˎ̥" w:eastAsia="仿宋_GB2312"/>
          <w:sz w:val="32"/>
          <w:szCs w:val="32"/>
          <w:highlight w:val="none"/>
          <w:lang w:val="en-US" w:eastAsia="zh-CN"/>
        </w:rPr>
        <w:t>减少</w:t>
      </w:r>
      <w:r>
        <w:rPr>
          <w:rFonts w:hint="default" w:ascii="仿宋_GB2312" w:hAnsi="ˎ̥" w:eastAsia="仿宋_GB2312"/>
          <w:sz w:val="32"/>
          <w:szCs w:val="32"/>
          <w:highlight w:val="none"/>
          <w:lang w:val="en-US"/>
        </w:rPr>
        <w:t>0.9</w:t>
      </w:r>
      <w:r>
        <w:rPr>
          <w:rFonts w:hint="eastAsia" w:ascii="仿宋_GB2312" w:hAnsi="ˎ̥" w:eastAsia="仿宋_GB2312"/>
          <w:sz w:val="32"/>
          <w:szCs w:val="32"/>
          <w:highlight w:val="none"/>
          <w:lang w:val="en-US" w:eastAsia="zh-CN"/>
        </w:rPr>
        <w:t>2</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val="en-US" w:eastAsia="zh-CN"/>
        </w:rPr>
        <w:t>减少</w:t>
      </w:r>
      <w:r>
        <w:rPr>
          <w:rFonts w:hint="default" w:ascii="仿宋_GB2312" w:hAnsi="ˎ̥" w:eastAsia="仿宋_GB2312"/>
          <w:sz w:val="32"/>
          <w:szCs w:val="32"/>
          <w:highlight w:val="none"/>
          <w:lang w:val="en-US"/>
        </w:rPr>
        <w:t>0.</w:t>
      </w:r>
      <w:r>
        <w:rPr>
          <w:rFonts w:hint="eastAsia" w:ascii="仿宋_GB2312" w:hAnsi="ˎ̥" w:eastAsia="仿宋_GB2312"/>
          <w:sz w:val="32"/>
          <w:szCs w:val="32"/>
          <w:highlight w:val="none"/>
          <w:lang w:val="en-US" w:eastAsia="zh-CN"/>
        </w:rPr>
        <w:t>05</w:t>
      </w:r>
      <w:r>
        <w:rPr>
          <w:rFonts w:hint="eastAsia" w:ascii="仿宋_GB2312" w:hAnsi="ˎ̥" w:eastAsia="仿宋_GB2312"/>
          <w:sz w:val="32"/>
          <w:szCs w:val="32"/>
          <w:highlight w:val="none"/>
        </w:rPr>
        <w:t>%</w:t>
      </w:r>
      <w:r>
        <w:rPr>
          <w:rFonts w:hint="default"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eastAsia="zh-CN"/>
        </w:rPr>
        <w:t>：教职工社保基数的</w:t>
      </w:r>
      <w:r>
        <w:rPr>
          <w:rFonts w:hint="eastAsia" w:ascii="仿宋_GB2312" w:hAnsi="ˎ̥" w:eastAsia="仿宋_GB2312" w:cs="仿宋_GB2312"/>
          <w:sz w:val="32"/>
          <w:szCs w:val="32"/>
          <w:highlight w:val="none"/>
          <w:lang w:val="en-US" w:eastAsia="zh-CN"/>
        </w:rPr>
        <w:t>减少</w:t>
      </w:r>
      <w:r>
        <w:rPr>
          <w:rFonts w:hint="eastAsia" w:ascii="仿宋_GB2312" w:hAnsi="ˎ̥" w:eastAsia="仿宋_GB2312" w:cs="仿宋_GB2312"/>
          <w:sz w:val="32"/>
          <w:szCs w:val="32"/>
          <w:highlight w:val="none"/>
          <w:lang w:eastAsia="zh-CN"/>
        </w:rPr>
        <w:t>，住房公积金及医疗的增加支出，教育教学活课程购买及玩教具的</w:t>
      </w:r>
      <w:r>
        <w:rPr>
          <w:rFonts w:hint="eastAsia" w:ascii="仿宋_GB2312" w:hAnsi="ˎ̥" w:eastAsia="仿宋_GB2312" w:cs="仿宋_GB2312"/>
          <w:sz w:val="32"/>
          <w:szCs w:val="32"/>
          <w:highlight w:val="none"/>
          <w:lang w:val="en-US" w:eastAsia="zh-CN"/>
        </w:rPr>
        <w:t>减少</w:t>
      </w:r>
      <w:r>
        <w:rPr>
          <w:rFonts w:hint="eastAsia" w:ascii="仿宋_GB2312" w:hAnsi="ˎ̥" w:eastAsia="仿宋_GB2312" w:cs="仿宋_GB2312"/>
          <w:sz w:val="32"/>
          <w:szCs w:val="32"/>
          <w:highlight w:val="none"/>
          <w:lang w:eastAsia="zh-CN"/>
        </w:rPr>
        <w:t>。</w:t>
      </w:r>
    </w:p>
    <w:p>
      <w:pPr>
        <w:ind w:firstLine="640" w:firstLineChars="200"/>
        <w:rPr>
          <w:rFonts w:hint="eastAsia" w:ascii="楷体" w:hAnsi="楷体" w:eastAsia="楷体" w:cs="楷体"/>
          <w:sz w:val="32"/>
          <w:szCs w:val="32"/>
          <w:highlight w:val="none"/>
          <w:lang w:eastAsia="zh-CN"/>
        </w:rPr>
      </w:pPr>
      <w:bookmarkStart w:id="83" w:name="_Toc27767_WPSOffice_Level2"/>
      <w:bookmarkEnd w:id="83"/>
      <w:bookmarkStart w:id="84" w:name="_Toc23864_WPSOffice_Level2"/>
      <w:bookmarkEnd w:id="84"/>
      <w:bookmarkStart w:id="85" w:name="_Toc19535_WPSOffice_Level2"/>
      <w:bookmarkEnd w:id="85"/>
      <w:bookmarkStart w:id="86" w:name="_Toc2711_WPSOffice_Level2"/>
      <w:bookmarkEnd w:id="86"/>
      <w:bookmarkStart w:id="87" w:name="_Toc18793_WPSOffice_Level2"/>
      <w:bookmarkEnd w:id="87"/>
      <w:bookmarkStart w:id="88" w:name="_Toc19075_WPSOffice_Level2"/>
      <w:bookmarkEnd w:id="88"/>
      <w:r>
        <w:rPr>
          <w:rFonts w:hint="eastAsia" w:ascii="楷体" w:hAnsi="楷体" w:eastAsia="楷体" w:cs="楷体"/>
          <w:sz w:val="32"/>
          <w:szCs w:val="32"/>
          <w:highlight w:val="none"/>
          <w:lang w:val="en-US" w:eastAsia="zh-CN"/>
        </w:rPr>
        <w:t>（二）一般公共预算</w:t>
      </w:r>
      <w:r>
        <w:rPr>
          <w:rFonts w:hint="eastAsia" w:ascii="楷体" w:hAnsi="楷体" w:eastAsia="楷体" w:cs="楷体"/>
          <w:sz w:val="32"/>
          <w:szCs w:val="32"/>
          <w:highlight w:val="none"/>
        </w:rPr>
        <w:t>财政拨款支出决算结构情况</w:t>
      </w:r>
      <w:r>
        <w:rPr>
          <w:rFonts w:hint="eastAsia" w:ascii="楷体" w:hAnsi="楷体" w:eastAsia="楷体" w:cs="楷体"/>
          <w:sz w:val="32"/>
          <w:szCs w:val="32"/>
          <w:highlight w:val="none"/>
          <w:lang w:eastAsia="zh-CN"/>
        </w:rPr>
        <w:t>。</w:t>
      </w:r>
    </w:p>
    <w:p>
      <w:pPr>
        <w:ind w:firstLine="640" w:firstLineChars="200"/>
        <w:rPr>
          <w:rFonts w:hint="eastAsia" w:ascii="仿宋_GB2312" w:hAnsi="ˎ̥" w:eastAsia="仿宋_GB2312"/>
          <w:sz w:val="32"/>
          <w:szCs w:val="32"/>
          <w:highlight w:val="yellow"/>
        </w:rPr>
      </w:pPr>
      <w:r>
        <w:rPr>
          <w:rFonts w:hint="eastAsia" w:ascii="仿宋_GB2312" w:hAnsi="ˎ̥" w:eastAsia="仿宋_GB2312"/>
          <w:sz w:val="32"/>
          <w:szCs w:val="32"/>
          <w:highlight w:val="none"/>
          <w:lang w:eastAsia="zh-CN"/>
        </w:rPr>
        <w:t>202</w:t>
      </w:r>
      <w:r>
        <w:rPr>
          <w:rFonts w:hint="eastAsia" w:ascii="仿宋_GB2312" w:hAnsi="ˎ̥" w:eastAsia="仿宋_GB2312"/>
          <w:sz w:val="32"/>
          <w:szCs w:val="32"/>
          <w:highlight w:val="none"/>
          <w:lang w:val="en-US" w:eastAsia="zh-CN"/>
        </w:rPr>
        <w:t>3</w:t>
      </w:r>
      <w:r>
        <w:rPr>
          <w:rFonts w:hint="eastAsia" w:ascii="仿宋_GB2312" w:hAnsi="ˎ̥" w:eastAsia="仿宋_GB2312"/>
          <w:sz w:val="32"/>
          <w:szCs w:val="32"/>
          <w:highlight w:val="none"/>
          <w:lang w:eastAsia="zh-CN"/>
        </w:rPr>
        <w:t>年度</w:t>
      </w:r>
      <w:r>
        <w:rPr>
          <w:rFonts w:hint="eastAsia" w:ascii="仿宋_GB2312" w:hAnsi="ˎ̥" w:eastAsia="仿宋_GB2312"/>
          <w:sz w:val="32"/>
          <w:szCs w:val="32"/>
          <w:highlight w:val="none"/>
        </w:rPr>
        <w:t>一般公共预算财政拨款支出</w:t>
      </w:r>
      <w:r>
        <w:rPr>
          <w:rFonts w:hint="eastAsia" w:ascii="仿宋_GB2312" w:hAnsi="ˎ̥" w:eastAsia="仿宋_GB2312"/>
          <w:sz w:val="32"/>
          <w:szCs w:val="32"/>
          <w:highlight w:val="none"/>
          <w:lang w:val="en-US" w:eastAsia="zh-CN"/>
        </w:rPr>
        <w:t>225.35</w:t>
      </w:r>
      <w:r>
        <w:rPr>
          <w:rFonts w:hint="eastAsia" w:ascii="仿宋_GB2312" w:hAnsi="ˎ̥" w:eastAsia="仿宋_GB2312"/>
          <w:sz w:val="32"/>
          <w:szCs w:val="32"/>
          <w:highlight w:val="none"/>
        </w:rPr>
        <w:t>万元，主要用于以下方面：</w:t>
      </w:r>
      <w:r>
        <w:rPr>
          <w:rFonts w:hint="eastAsia" w:ascii="仿宋_GB2312" w:hAnsi="ˎ̥" w:eastAsia="仿宋_GB2312"/>
          <w:b/>
          <w:bCs/>
          <w:sz w:val="32"/>
          <w:szCs w:val="32"/>
          <w:highlight w:val="none"/>
          <w:lang w:val="en-US" w:eastAsia="zh-CN"/>
        </w:rPr>
        <w:t>教育支出（类）</w:t>
      </w:r>
      <w:r>
        <w:rPr>
          <w:rFonts w:hint="eastAsia" w:ascii="仿宋_GB2312" w:hAnsi="ˎ̥" w:eastAsia="仿宋_GB2312"/>
          <w:b w:val="0"/>
          <w:bCs w:val="0"/>
          <w:sz w:val="32"/>
          <w:szCs w:val="32"/>
          <w:highlight w:val="none"/>
          <w:lang w:val="en-US" w:eastAsia="zh-CN"/>
        </w:rPr>
        <w:t>支出</w:t>
      </w:r>
      <w:r>
        <w:rPr>
          <w:rFonts w:hint="eastAsia" w:ascii="仿宋_GB2312" w:hAnsi="ˎ̥" w:eastAsia="仿宋_GB2312"/>
          <w:sz w:val="32"/>
          <w:szCs w:val="32"/>
          <w:highlight w:val="none"/>
          <w:lang w:val="en-US" w:eastAsia="zh-CN"/>
        </w:rPr>
        <w:t>：</w:t>
      </w:r>
      <w:r>
        <w:rPr>
          <w:rFonts w:hint="default" w:ascii="仿宋_GB2312" w:hAnsi="ˎ̥" w:eastAsia="仿宋_GB2312"/>
          <w:sz w:val="32"/>
          <w:szCs w:val="32"/>
          <w:highlight w:val="none"/>
          <w:lang w:val="en-US" w:eastAsia="zh-CN"/>
        </w:rPr>
        <w:t>2</w:t>
      </w:r>
      <w:r>
        <w:rPr>
          <w:rFonts w:hint="eastAsia" w:ascii="仿宋_GB2312" w:hAnsi="ˎ̥" w:eastAsia="仿宋_GB2312"/>
          <w:sz w:val="32"/>
          <w:szCs w:val="32"/>
          <w:highlight w:val="none"/>
          <w:lang w:val="en-US" w:eastAsia="zh-CN"/>
        </w:rPr>
        <w:t>08.76万元，</w:t>
      </w:r>
      <w:r>
        <w:rPr>
          <w:rFonts w:hint="eastAsia" w:ascii="仿宋_GB2312" w:hAnsi="ˎ̥" w:eastAsia="仿宋_GB2312"/>
          <w:sz w:val="32"/>
          <w:szCs w:val="32"/>
          <w:highlight w:val="none"/>
        </w:rPr>
        <w:t>占</w:t>
      </w:r>
      <w:r>
        <w:rPr>
          <w:rFonts w:hint="default" w:ascii="仿宋_GB2312" w:hAnsi="ˎ̥" w:eastAsia="仿宋_GB2312"/>
          <w:sz w:val="32"/>
          <w:szCs w:val="32"/>
          <w:lang w:val="en-US"/>
        </w:rPr>
        <w:t>92.</w:t>
      </w:r>
      <w:r>
        <w:rPr>
          <w:rFonts w:hint="eastAsia" w:ascii="仿宋_GB2312" w:hAnsi="ˎ̥" w:eastAsia="仿宋_GB2312"/>
          <w:sz w:val="32"/>
          <w:szCs w:val="32"/>
          <w:lang w:val="en-US" w:eastAsia="zh-CN"/>
        </w:rPr>
        <w:t>63</w:t>
      </w:r>
      <w:r>
        <w:rPr>
          <w:rFonts w:hint="eastAsia" w:ascii="仿宋_GB2312" w:hAnsi="ˎ̥" w:eastAsia="仿宋_GB2312"/>
          <w:sz w:val="32"/>
          <w:szCs w:val="32"/>
        </w:rPr>
        <w:t>%；……</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6.28</w:t>
      </w:r>
      <w:r>
        <w:rPr>
          <w:rFonts w:hint="eastAsia" w:ascii="仿宋_GB2312" w:hAnsi="ˎ̥" w:eastAsia="仿宋_GB2312"/>
          <w:sz w:val="32"/>
          <w:szCs w:val="32"/>
        </w:rPr>
        <w:t>万元，占</w:t>
      </w:r>
      <w:r>
        <w:rPr>
          <w:rFonts w:hint="default" w:ascii="仿宋_GB2312" w:hAnsi="ˎ̥" w:eastAsia="仿宋_GB2312"/>
          <w:sz w:val="32"/>
          <w:szCs w:val="32"/>
          <w:lang w:val="en-US"/>
        </w:rPr>
        <w:t>2.</w:t>
      </w:r>
      <w:r>
        <w:rPr>
          <w:rFonts w:hint="eastAsia" w:ascii="仿宋_GB2312" w:hAnsi="ˎ̥" w:eastAsia="仿宋_GB2312"/>
          <w:sz w:val="32"/>
          <w:szCs w:val="32"/>
          <w:lang w:val="en-US" w:eastAsia="zh-CN"/>
        </w:rPr>
        <w:t>78</w:t>
      </w:r>
      <w:r>
        <w:rPr>
          <w:rFonts w:hint="eastAsia" w:ascii="仿宋_GB2312" w:hAnsi="ˎ̥" w:eastAsia="仿宋_GB2312"/>
          <w:sz w:val="32"/>
          <w:szCs w:val="32"/>
        </w:rPr>
        <w:t>%；</w:t>
      </w:r>
      <w:r>
        <w:rPr>
          <w:rFonts w:hint="eastAsia" w:ascii="仿宋_GB2312" w:hAnsi="ˎ̥" w:eastAsia="仿宋_GB2312"/>
          <w:b/>
          <w:bCs/>
          <w:sz w:val="32"/>
          <w:szCs w:val="32"/>
          <w:lang w:eastAsia="zh-CN"/>
        </w:rPr>
        <w:t>卫</w:t>
      </w:r>
      <w:r>
        <w:rPr>
          <w:rFonts w:hint="eastAsia" w:ascii="仿宋_GB2312" w:hAnsi="ˎ̥" w:eastAsia="仿宋_GB2312"/>
          <w:b/>
          <w:bCs/>
          <w:sz w:val="32"/>
          <w:szCs w:val="32"/>
          <w:lang w:val="en-US" w:eastAsia="zh-CN"/>
        </w:rPr>
        <w:t>生健康（类）</w:t>
      </w:r>
      <w:r>
        <w:rPr>
          <w:rFonts w:hint="eastAsia" w:ascii="仿宋_GB2312" w:hAnsi="ˎ̥" w:eastAsia="仿宋_GB2312"/>
          <w:sz w:val="32"/>
          <w:szCs w:val="32"/>
          <w:lang w:val="en-US" w:eastAsia="zh-CN"/>
        </w:rPr>
        <w:t>支出：5.91</w:t>
      </w:r>
      <w:r>
        <w:rPr>
          <w:rFonts w:hint="eastAsia" w:ascii="仿宋_GB2312" w:hAnsi="ˎ̥" w:eastAsia="仿宋_GB2312"/>
          <w:b w:val="0"/>
          <w:bCs w:val="0"/>
          <w:sz w:val="32"/>
          <w:szCs w:val="32"/>
          <w:lang w:val="en-US" w:eastAsia="zh-CN"/>
        </w:rPr>
        <w:t>万元，占</w:t>
      </w:r>
      <w:r>
        <w:rPr>
          <w:rFonts w:hint="default" w:ascii="仿宋_GB2312" w:hAnsi="ˎ̥" w:eastAsia="仿宋_GB2312"/>
          <w:b w:val="0"/>
          <w:bCs w:val="0"/>
          <w:sz w:val="32"/>
          <w:szCs w:val="32"/>
          <w:lang w:val="en-US" w:eastAsia="zh-CN"/>
        </w:rPr>
        <w:t>2.6</w:t>
      </w:r>
      <w:r>
        <w:rPr>
          <w:rFonts w:hint="eastAsia" w:ascii="仿宋_GB2312" w:hAnsi="ˎ̥" w:eastAsia="仿宋_GB2312"/>
          <w:b w:val="0"/>
          <w:bCs w:val="0"/>
          <w:sz w:val="32"/>
          <w:szCs w:val="32"/>
          <w:lang w:val="en-US" w:eastAsia="zh-CN"/>
        </w:rPr>
        <w:t>2%，</w:t>
      </w:r>
      <w:r>
        <w:rPr>
          <w:rFonts w:hint="eastAsia" w:ascii="仿宋_GB2312" w:hAnsi="ˎ̥" w:eastAsia="仿宋_GB2312"/>
          <w:b/>
          <w:bCs/>
          <w:sz w:val="32"/>
          <w:szCs w:val="32"/>
          <w:lang w:val="en-US" w:eastAsia="zh-CN"/>
        </w:rPr>
        <w:t>住房保障（类）</w:t>
      </w:r>
      <w:r>
        <w:rPr>
          <w:rFonts w:hint="eastAsia" w:ascii="仿宋_GB2312" w:hAnsi="ˎ̥" w:eastAsia="仿宋_GB2312"/>
          <w:sz w:val="32"/>
          <w:szCs w:val="32"/>
        </w:rPr>
        <w:t>支出</w:t>
      </w:r>
      <w:r>
        <w:rPr>
          <w:rFonts w:hint="default" w:ascii="仿宋_GB2312" w:hAnsi="ˎ̥" w:eastAsia="仿宋_GB2312"/>
          <w:sz w:val="32"/>
          <w:szCs w:val="32"/>
          <w:lang w:val="en-US"/>
        </w:rPr>
        <w:t>4.</w:t>
      </w:r>
      <w:r>
        <w:rPr>
          <w:rFonts w:hint="eastAsia" w:ascii="仿宋_GB2312" w:hAnsi="ˎ̥" w:eastAsia="仿宋_GB2312"/>
          <w:sz w:val="32"/>
          <w:szCs w:val="32"/>
          <w:lang w:val="en-US" w:eastAsia="zh-CN"/>
        </w:rPr>
        <w:t>41</w:t>
      </w:r>
      <w:r>
        <w:rPr>
          <w:rFonts w:hint="eastAsia" w:ascii="仿宋_GB2312" w:hAnsi="ˎ̥" w:eastAsia="仿宋_GB2312"/>
          <w:sz w:val="32"/>
          <w:szCs w:val="32"/>
        </w:rPr>
        <w:t>万元，占</w:t>
      </w:r>
      <w:r>
        <w:rPr>
          <w:rFonts w:hint="eastAsia" w:ascii="仿宋_GB2312" w:hAnsi="ˎ̥" w:eastAsia="仿宋_GB2312"/>
          <w:sz w:val="32"/>
          <w:szCs w:val="32"/>
          <w:lang w:val="en-US" w:eastAsia="zh-CN"/>
        </w:rPr>
        <w:t>1.95</w:t>
      </w:r>
      <w:r>
        <w:rPr>
          <w:rFonts w:hint="eastAsia" w:ascii="仿宋_GB2312" w:hAnsi="ˎ̥" w:eastAsia="仿宋_GB2312"/>
          <w:sz w:val="32"/>
          <w:szCs w:val="32"/>
        </w:rPr>
        <w:t>%。</w:t>
      </w:r>
    </w:p>
    <w:p>
      <w:pPr>
        <w:ind w:firstLine="640" w:firstLineChars="200"/>
        <w:rPr>
          <w:rFonts w:hint="eastAsia" w:ascii="楷体" w:hAnsi="楷体" w:eastAsia="楷体" w:cs="楷体"/>
          <w:color w:val="000000" w:themeColor="text1"/>
          <w:sz w:val="32"/>
          <w:szCs w:val="32"/>
          <w14:textFill>
            <w14:solidFill>
              <w14:schemeClr w14:val="tx1"/>
            </w14:solidFill>
          </w14:textFill>
        </w:rPr>
      </w:pPr>
      <w:bookmarkStart w:id="89" w:name="_Toc21701_WPSOffice_Level2"/>
      <w:bookmarkEnd w:id="89"/>
      <w:bookmarkStart w:id="90" w:name="_Toc29364_WPSOffice_Level2"/>
      <w:bookmarkEnd w:id="90"/>
      <w:bookmarkStart w:id="91" w:name="_Toc15415_WPSOffice_Level2"/>
      <w:bookmarkEnd w:id="91"/>
      <w:bookmarkStart w:id="92" w:name="_Toc25136_WPSOffice_Level2"/>
      <w:bookmarkEnd w:id="92"/>
      <w:bookmarkStart w:id="93" w:name="_Toc9502_WPSOffice_Level2"/>
      <w:bookmarkEnd w:id="93"/>
      <w:bookmarkStart w:id="94" w:name="_Toc22318_WPSOffice_Level2"/>
      <w:bookmarkEnd w:id="94"/>
      <w:r>
        <w:rPr>
          <w:rFonts w:hint="eastAsia" w:ascii="楷体" w:hAnsi="楷体" w:eastAsia="楷体" w:cs="楷体"/>
          <w:color w:val="000000" w:themeColor="text1"/>
          <w:sz w:val="32"/>
          <w:szCs w:val="32"/>
          <w:lang w:val="en-US" w:eastAsia="zh-CN"/>
          <w14:textFill>
            <w14:solidFill>
              <w14:schemeClr w14:val="tx1"/>
            </w14:solidFill>
          </w14:textFill>
        </w:rPr>
        <w:t>（三）一般公共预算</w:t>
      </w:r>
      <w:r>
        <w:rPr>
          <w:rFonts w:hint="eastAsia" w:ascii="楷体" w:hAnsi="楷体" w:eastAsia="楷体" w:cs="楷体"/>
          <w:color w:val="000000" w:themeColor="text1"/>
          <w:sz w:val="32"/>
          <w:szCs w:val="32"/>
          <w14:textFill>
            <w14:solidFill>
              <w14:schemeClr w14:val="tx1"/>
            </w14:solidFill>
          </w14:textFill>
        </w:rPr>
        <w:t>财政拨款支出决算具体情况。</w:t>
      </w:r>
    </w:p>
    <w:p>
      <w:pPr>
        <w:ind w:firstLine="640" w:firstLineChars="200"/>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color w:val="000000" w:themeColor="text1"/>
          <w:sz w:val="32"/>
          <w:szCs w:val="32"/>
          <w:lang w:eastAsia="zh-CN"/>
          <w14:textFill>
            <w14:solidFill>
              <w14:schemeClr w14:val="tx1"/>
            </w14:solidFill>
          </w14:textFill>
        </w:rPr>
        <w:t>202</w:t>
      </w:r>
      <w:r>
        <w:rPr>
          <w:rFonts w:hint="eastAsia" w:ascii="仿宋_GB2312" w:hAnsi="ˎ̥" w:eastAsia="仿宋_GB2312"/>
          <w:color w:val="000000" w:themeColor="text1"/>
          <w:sz w:val="32"/>
          <w:szCs w:val="32"/>
          <w:lang w:val="en-US" w:eastAsia="zh-CN"/>
          <w14:textFill>
            <w14:solidFill>
              <w14:schemeClr w14:val="tx1"/>
            </w14:solidFill>
          </w14:textFill>
        </w:rPr>
        <w:t>3</w:t>
      </w:r>
      <w:r>
        <w:rPr>
          <w:rFonts w:hint="eastAsia" w:ascii="仿宋_GB2312" w:hAnsi="ˎ̥" w:eastAsia="仿宋_GB2312"/>
          <w:color w:val="000000" w:themeColor="text1"/>
          <w:sz w:val="32"/>
          <w:szCs w:val="32"/>
          <w:lang w:eastAsia="zh-CN"/>
          <w14:textFill>
            <w14:solidFill>
              <w14:schemeClr w14:val="tx1"/>
            </w14:solidFill>
          </w14:textFill>
        </w:rPr>
        <w:t>年度一般公共预算</w:t>
      </w:r>
      <w:r>
        <w:rPr>
          <w:rFonts w:hint="eastAsia" w:ascii="仿宋_GB2312" w:hAnsi="ˎ̥" w:eastAsia="仿宋_GB2312"/>
          <w:color w:val="000000" w:themeColor="text1"/>
          <w:sz w:val="32"/>
          <w:szCs w:val="32"/>
          <w14:textFill>
            <w14:solidFill>
              <w14:schemeClr w14:val="tx1"/>
            </w14:solidFill>
          </w14:textFill>
        </w:rPr>
        <w:t>财政拨款支出年初预算为</w:t>
      </w:r>
      <w:r>
        <w:rPr>
          <w:rFonts w:hint="eastAsia" w:ascii="仿宋_GB2312" w:hAnsi="ˎ̥" w:eastAsia="仿宋_GB2312"/>
          <w:color w:val="000000" w:themeColor="text1"/>
          <w:sz w:val="32"/>
          <w:szCs w:val="32"/>
          <w:lang w:val="en-US" w:eastAsia="zh-CN"/>
          <w14:textFill>
            <w14:solidFill>
              <w14:schemeClr w14:val="tx1"/>
            </w14:solidFill>
          </w14:textFill>
        </w:rPr>
        <w:t>225.35</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color w:val="000000" w:themeColor="text1"/>
          <w:sz w:val="32"/>
          <w:szCs w:val="32"/>
          <w14:textFill>
            <w14:solidFill>
              <w14:schemeClr w14:val="tx1"/>
            </w14:solidFill>
          </w14:textFill>
        </w:rPr>
        <w:t>，支出决算为</w:t>
      </w:r>
      <w:r>
        <w:rPr>
          <w:rFonts w:hint="eastAsia" w:ascii="仿宋_GB2312" w:hAnsi="ˎ̥" w:eastAsia="仿宋_GB2312"/>
          <w:color w:val="000000" w:themeColor="text1"/>
          <w:sz w:val="32"/>
          <w:szCs w:val="32"/>
          <w:lang w:val="en-US" w:eastAsia="zh-CN"/>
          <w14:textFill>
            <w14:solidFill>
              <w14:schemeClr w14:val="tx1"/>
            </w14:solidFill>
          </w14:textFill>
        </w:rPr>
        <w:t>225.35</w:t>
      </w:r>
      <w:r>
        <w:rPr>
          <w:rFonts w:hint="eastAsia" w:ascii="仿宋_GB2312" w:hAnsi="ˎ̥" w:eastAsia="仿宋_GB2312"/>
          <w:color w:val="000000" w:themeColor="text1"/>
          <w:sz w:val="32"/>
          <w:szCs w:val="32"/>
          <w14:textFill>
            <w14:solidFill>
              <w14:schemeClr w14:val="tx1"/>
            </w14:solidFill>
          </w14:textFill>
        </w:rPr>
        <w:t>万元，完成年初预算的</w:t>
      </w:r>
      <w:r>
        <w:rPr>
          <w:rFonts w:hint="eastAsia" w:ascii="仿宋_GB2312" w:hAnsi="ˎ̥" w:eastAsia="仿宋_GB2312"/>
          <w:color w:val="000000" w:themeColor="text1"/>
          <w:sz w:val="32"/>
          <w:szCs w:val="32"/>
          <w:lang w:val="en-US" w:eastAsia="zh-CN"/>
          <w14:textFill>
            <w14:solidFill>
              <w14:schemeClr w14:val="tx1"/>
            </w14:solidFill>
          </w14:textFill>
        </w:rPr>
        <w:t>100</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14:textFill>
            <w14:solidFill>
              <w14:schemeClr w14:val="tx1"/>
            </w14:solidFill>
          </w14:textFill>
        </w:rPr>
        <w:t>。其中：</w:t>
      </w:r>
    </w:p>
    <w:p>
      <w:pPr>
        <w:numPr>
          <w:ilvl w:val="0"/>
          <w:numId w:val="4"/>
        </w:numPr>
        <w:ind w:firstLine="643" w:firstLineChars="200"/>
        <w:rPr>
          <w:rFonts w:hint="eastAsia" w:ascii="仿宋_GB2312" w:hAnsi="ˎ̥" w:eastAsia="仿宋_GB2312"/>
          <w:b/>
          <w:bCs/>
          <w:color w:val="000000" w:themeColor="text1"/>
          <w:sz w:val="32"/>
          <w:szCs w:val="32"/>
          <w14:textFill>
            <w14:solidFill>
              <w14:schemeClr w14:val="tx1"/>
            </w14:solidFill>
          </w14:textFill>
        </w:rPr>
      </w:pPr>
      <w:r>
        <w:rPr>
          <w:rFonts w:hint="eastAsia" w:ascii="仿宋_GB2312" w:hAnsi="ˎ̥" w:eastAsia="仿宋_GB2312"/>
          <w:b/>
          <w:bCs/>
          <w:color w:val="000000" w:themeColor="text1"/>
          <w:sz w:val="32"/>
          <w:szCs w:val="32"/>
          <w:lang w:val="en-US" w:eastAsia="zh-CN"/>
          <w14:textFill>
            <w14:solidFill>
              <w14:schemeClr w14:val="tx1"/>
            </w14:solidFill>
          </w14:textFill>
        </w:rPr>
        <w:t>教育（类）普通教育（款）学前教育（项）</w:t>
      </w:r>
      <w:r>
        <w:rPr>
          <w:rFonts w:hint="eastAsia" w:ascii="仿宋_GB2312" w:hAnsi="ˎ̥" w:eastAsia="仿宋_GB2312"/>
          <w:b/>
          <w:bCs/>
          <w:color w:val="000000" w:themeColor="text1"/>
          <w:sz w:val="32"/>
          <w:szCs w:val="32"/>
          <w14:textFill>
            <w14:solidFill>
              <w14:schemeClr w14:val="tx1"/>
            </w14:solidFill>
          </w14:textFill>
        </w:rPr>
        <w:t>。</w:t>
      </w:r>
    </w:p>
    <w:p>
      <w:pPr>
        <w:numPr>
          <w:ilvl w:val="0"/>
          <w:numId w:val="0"/>
        </w:numPr>
        <w:ind w:firstLine="640" w:firstLineChars="200"/>
        <w:rPr>
          <w:rFonts w:hint="eastAsia" w:ascii="仿宋_GB2312" w:hAnsi="ˎ̥" w:eastAsia="仿宋_GB2312"/>
          <w:b w:val="0"/>
          <w:bCs/>
          <w:color w:val="000000" w:themeColor="text1"/>
          <w:sz w:val="32"/>
          <w:szCs w:val="32"/>
          <w:lang w:val="en-US" w:eastAsia="zh-CN"/>
          <w14:textFill>
            <w14:solidFill>
              <w14:schemeClr w14:val="tx1"/>
            </w14:solidFill>
          </w14:textFill>
        </w:rPr>
      </w:pPr>
      <w:r>
        <w:rPr>
          <w:rFonts w:hint="eastAsia" w:ascii="仿宋_GB2312" w:hAnsi="ˎ̥" w:eastAsia="仿宋_GB2312"/>
          <w:b w:val="0"/>
          <w:bCs/>
          <w:color w:val="000000" w:themeColor="text1"/>
          <w:sz w:val="32"/>
          <w:szCs w:val="32"/>
          <w:lang w:eastAsia="zh-CN"/>
          <w14:textFill>
            <w14:solidFill>
              <w14:schemeClr w14:val="tx1"/>
            </w14:solidFill>
          </w14:textFill>
        </w:rPr>
        <w:t>年初预算为</w:t>
      </w:r>
      <w:r>
        <w:rPr>
          <w:rFonts w:hint="eastAsia" w:ascii="仿宋_GB2312" w:hAnsi="ˎ̥" w:eastAsia="仿宋_GB2312"/>
          <w:b w:val="0"/>
          <w:bCs/>
          <w:color w:val="000000" w:themeColor="text1"/>
          <w:sz w:val="32"/>
          <w:szCs w:val="32"/>
          <w:lang w:val="en-US" w:eastAsia="zh-CN"/>
          <w14:textFill>
            <w14:solidFill>
              <w14:schemeClr w14:val="tx1"/>
            </w14:solidFill>
          </w14:textFill>
        </w:rPr>
        <w:t>209.97万元</w:t>
      </w:r>
      <w:r>
        <w:rPr>
          <w:rFonts w:hint="eastAsia" w:ascii="仿宋_GB2312" w:hAnsi="ˎ̥" w:eastAsia="仿宋_GB2312"/>
          <w:b w:val="0"/>
          <w:bCs/>
          <w:color w:val="000000" w:themeColor="text1"/>
          <w:sz w:val="32"/>
          <w:szCs w:val="32"/>
          <w:lang w:val="en-US" w:eastAsia="zh-CN"/>
          <w14:textFill>
            <w14:solidFill>
              <w14:schemeClr w14:val="tx1"/>
            </w14:solidFill>
          </w14:textFill>
        </w:rPr>
        <w:t>，支出决算为</w:t>
      </w:r>
      <w:r>
        <w:rPr>
          <w:rFonts w:hint="default" w:ascii="仿宋_GB2312" w:hAnsi="ˎ̥" w:eastAsia="仿宋_GB2312"/>
          <w:b w:val="0"/>
          <w:bCs/>
          <w:color w:val="000000" w:themeColor="text1"/>
          <w:sz w:val="32"/>
          <w:szCs w:val="32"/>
          <w:lang w:val="en-US" w:eastAsia="zh-CN"/>
          <w14:textFill>
            <w14:solidFill>
              <w14:schemeClr w14:val="tx1"/>
            </w14:solidFill>
          </w14:textFill>
        </w:rPr>
        <w:t>2</w:t>
      </w:r>
      <w:r>
        <w:rPr>
          <w:rFonts w:hint="eastAsia" w:ascii="仿宋_GB2312" w:hAnsi="ˎ̥" w:eastAsia="仿宋_GB2312"/>
          <w:b w:val="0"/>
          <w:bCs/>
          <w:color w:val="000000" w:themeColor="text1"/>
          <w:sz w:val="32"/>
          <w:szCs w:val="32"/>
          <w:lang w:val="en-US" w:eastAsia="zh-CN"/>
          <w14:textFill>
            <w14:solidFill>
              <w14:schemeClr w14:val="tx1"/>
            </w14:solidFill>
          </w14:textFill>
        </w:rPr>
        <w:t>09.97万元，完成年初预算的100%</w:t>
      </w:r>
      <w:r>
        <w:rPr>
          <w:rFonts w:hint="eastAsia" w:ascii="仿宋_GB2312" w:hAnsi="ˎ̥" w:eastAsia="仿宋_GB2312"/>
          <w:b w:val="0"/>
          <w:bCs/>
          <w:color w:val="000000" w:themeColor="text1"/>
          <w:sz w:val="32"/>
          <w:szCs w:val="32"/>
          <w:lang w:val="en-US" w:eastAsia="zh-CN"/>
          <w14:textFill>
            <w14:solidFill>
              <w14:schemeClr w14:val="tx1"/>
            </w14:solidFill>
          </w14:textFill>
        </w:rPr>
        <w:t>。</w:t>
      </w:r>
    </w:p>
    <w:p>
      <w:pPr>
        <w:numPr>
          <w:ilvl w:val="0"/>
          <w:numId w:val="4"/>
        </w:numPr>
        <w:ind w:firstLine="643" w:firstLineChars="200"/>
        <w:rPr>
          <w:rFonts w:hint="eastAsia" w:ascii="仿宋_GB2312" w:hAnsi="ˎ̥" w:eastAsia="仿宋_GB2312"/>
          <w:b/>
          <w:bCs w:val="0"/>
          <w:color w:val="000000" w:themeColor="text1"/>
          <w:sz w:val="32"/>
          <w:szCs w:val="32"/>
          <w:lang w:val="en-US" w:eastAsia="zh-CN"/>
          <w14:textFill>
            <w14:solidFill>
              <w14:schemeClr w14:val="tx1"/>
            </w14:solidFill>
          </w14:textFill>
        </w:rPr>
      </w:pPr>
      <w:r>
        <w:rPr>
          <w:rFonts w:hint="eastAsia" w:ascii="仿宋_GB2312" w:hAnsi="ˎ̥" w:eastAsia="仿宋_GB2312"/>
          <w:b/>
          <w:bCs w:val="0"/>
          <w:color w:val="000000" w:themeColor="text1"/>
          <w:sz w:val="32"/>
          <w:szCs w:val="32"/>
          <w:lang w:val="en-US" w:eastAsia="zh-CN"/>
          <w14:textFill>
            <w14:solidFill>
              <w14:schemeClr w14:val="tx1"/>
            </w14:solidFill>
          </w14:textFill>
        </w:rPr>
        <w:t>社会保障和就业（类）行政事业单位养老支出（款）机关事业单位基本养老保险缴费支出（项）。</w:t>
      </w:r>
    </w:p>
    <w:p>
      <w:pPr>
        <w:numPr>
          <w:ilvl w:val="0"/>
          <w:numId w:val="0"/>
        </w:numPr>
        <w:rPr>
          <w:rFonts w:hint="eastAsia" w:ascii="仿宋_GB2312" w:hAnsi="ˎ̥" w:eastAsia="仿宋_GB2312"/>
          <w:b w:val="0"/>
          <w:bCs/>
          <w:color w:val="000000" w:themeColor="text1"/>
          <w:sz w:val="32"/>
          <w:szCs w:val="32"/>
          <w:lang w:val="en-US" w:eastAsia="zh-CN"/>
          <w14:textFill>
            <w14:solidFill>
              <w14:schemeClr w14:val="tx1"/>
            </w14:solidFill>
          </w14:textFill>
        </w:rPr>
      </w:pPr>
      <w:r>
        <w:rPr>
          <w:rFonts w:hint="eastAsia" w:ascii="仿宋_GB2312" w:hAnsi="ˎ̥" w:eastAsia="仿宋_GB2312"/>
          <w:b w:val="0"/>
          <w:bCs/>
          <w:color w:val="000000" w:themeColor="text1"/>
          <w:sz w:val="32"/>
          <w:szCs w:val="32"/>
          <w:lang w:val="en-US" w:eastAsia="zh-CN"/>
          <w14:textFill>
            <w14:solidFill>
              <w14:schemeClr w14:val="tx1"/>
            </w14:solidFill>
          </w14:textFill>
        </w:rPr>
        <w:t xml:space="preserve">    年初预算为11万元，支出决算为11万元，完成年初预算的100%</w:t>
      </w:r>
      <w:r>
        <w:rPr>
          <w:rFonts w:hint="eastAsia" w:ascii="仿宋_GB2312" w:hAnsi="ˎ̥" w:eastAsia="仿宋_GB2312"/>
          <w:b w:val="0"/>
          <w:bCs/>
          <w:color w:val="000000" w:themeColor="text1"/>
          <w:sz w:val="32"/>
          <w:szCs w:val="32"/>
          <w:lang w:val="en-US" w:eastAsia="zh-CN"/>
          <w14:textFill>
            <w14:solidFill>
              <w14:schemeClr w14:val="tx1"/>
            </w14:solidFill>
          </w14:textFill>
        </w:rPr>
        <w:t>。</w:t>
      </w:r>
    </w:p>
    <w:p>
      <w:pPr>
        <w:numPr>
          <w:ilvl w:val="0"/>
          <w:numId w:val="4"/>
        </w:numPr>
        <w:ind w:firstLine="643" w:firstLineChars="200"/>
        <w:rPr>
          <w:rFonts w:hint="eastAsia" w:ascii="仿宋_GB2312" w:hAnsi="ˎ̥" w:eastAsia="仿宋_GB2312"/>
          <w:b/>
          <w:bCs w:val="0"/>
          <w:color w:val="000000" w:themeColor="text1"/>
          <w:sz w:val="32"/>
          <w:szCs w:val="32"/>
          <w:lang w:val="en-US" w:eastAsia="zh-CN"/>
          <w14:textFill>
            <w14:solidFill>
              <w14:schemeClr w14:val="tx1"/>
            </w14:solidFill>
          </w14:textFill>
        </w:rPr>
      </w:pPr>
      <w:r>
        <w:rPr>
          <w:rFonts w:hint="eastAsia" w:ascii="仿宋_GB2312" w:hAnsi="ˎ̥" w:eastAsia="仿宋_GB2312"/>
          <w:b/>
          <w:bCs w:val="0"/>
          <w:color w:val="000000" w:themeColor="text1"/>
          <w:sz w:val="32"/>
          <w:szCs w:val="32"/>
          <w:lang w:val="en-US" w:eastAsia="zh-CN"/>
          <w14:textFill>
            <w14:solidFill>
              <w14:schemeClr w14:val="tx1"/>
            </w14:solidFill>
          </w14:textFill>
        </w:rPr>
        <w:t>卫生健康（类）行政事业单位医疗（款)事业单位医疗项。</w:t>
      </w:r>
    </w:p>
    <w:p>
      <w:pPr>
        <w:numPr>
          <w:ilvl w:val="0"/>
          <w:numId w:val="0"/>
        </w:numPr>
        <w:rPr>
          <w:rFonts w:hint="eastAsia" w:ascii="仿宋_GB2312" w:hAnsi="ˎ̥" w:eastAsia="仿宋_GB2312"/>
          <w:b w:val="0"/>
          <w:bCs/>
          <w:color w:val="000000" w:themeColor="text1"/>
          <w:sz w:val="32"/>
          <w:szCs w:val="32"/>
          <w:lang w:val="en-US" w:eastAsia="zh-CN"/>
          <w14:textFill>
            <w14:solidFill>
              <w14:schemeClr w14:val="tx1"/>
            </w14:solidFill>
          </w14:textFill>
        </w:rPr>
      </w:pPr>
      <w:r>
        <w:rPr>
          <w:rFonts w:hint="eastAsia" w:ascii="仿宋_GB2312" w:hAnsi="ˎ̥" w:eastAsia="仿宋_GB2312"/>
          <w:b w:val="0"/>
          <w:bCs/>
          <w:color w:val="000000" w:themeColor="text1"/>
          <w:sz w:val="32"/>
          <w:szCs w:val="32"/>
          <w:lang w:val="en-US" w:eastAsia="zh-CN"/>
          <w14:textFill>
            <w14:solidFill>
              <w14:schemeClr w14:val="tx1"/>
            </w14:solidFill>
          </w14:textFill>
        </w:rPr>
        <w:t xml:space="preserve">    年初预算数为6.6万元，支出决算为</w:t>
      </w:r>
      <w:r>
        <w:rPr>
          <w:rFonts w:hint="default" w:ascii="仿宋_GB2312" w:hAnsi="ˎ̥" w:eastAsia="仿宋_GB2312"/>
          <w:b w:val="0"/>
          <w:bCs/>
          <w:color w:val="000000" w:themeColor="text1"/>
          <w:sz w:val="32"/>
          <w:szCs w:val="32"/>
          <w:lang w:val="en-US" w:eastAsia="zh-CN"/>
          <w14:textFill>
            <w14:solidFill>
              <w14:schemeClr w14:val="tx1"/>
            </w14:solidFill>
          </w14:textFill>
        </w:rPr>
        <w:t>6.</w:t>
      </w:r>
      <w:r>
        <w:rPr>
          <w:rFonts w:hint="eastAsia" w:ascii="仿宋_GB2312" w:hAnsi="ˎ̥" w:eastAsia="仿宋_GB2312"/>
          <w:b w:val="0"/>
          <w:bCs/>
          <w:color w:val="000000" w:themeColor="text1"/>
          <w:sz w:val="32"/>
          <w:szCs w:val="32"/>
          <w:lang w:val="en-US" w:eastAsia="zh-CN"/>
          <w14:textFill>
            <w14:solidFill>
              <w14:schemeClr w14:val="tx1"/>
            </w14:solidFill>
          </w14:textFill>
        </w:rPr>
        <w:t>6万元，完成年初预算的100%</w:t>
      </w:r>
      <w:r>
        <w:rPr>
          <w:rFonts w:hint="eastAsia" w:ascii="仿宋_GB2312" w:hAnsi="ˎ̥" w:eastAsia="仿宋_GB2312"/>
          <w:b w:val="0"/>
          <w:bCs/>
          <w:color w:val="000000" w:themeColor="text1"/>
          <w:sz w:val="32"/>
          <w:szCs w:val="32"/>
          <w:lang w:val="en-US" w:eastAsia="zh-CN"/>
          <w14:textFill>
            <w14:solidFill>
              <w14:schemeClr w14:val="tx1"/>
            </w14:solidFill>
          </w14:textFill>
        </w:rPr>
        <w:t>。</w:t>
      </w:r>
    </w:p>
    <w:p>
      <w:pPr>
        <w:numPr>
          <w:ilvl w:val="0"/>
          <w:numId w:val="4"/>
        </w:numPr>
        <w:ind w:firstLine="643" w:firstLineChars="200"/>
        <w:rPr>
          <w:rFonts w:hint="eastAsia" w:ascii="仿宋_GB2312" w:hAnsi="ˎ̥" w:eastAsia="仿宋_GB2312"/>
          <w:b/>
          <w:bCs w:val="0"/>
          <w:color w:val="000000" w:themeColor="text1"/>
          <w:sz w:val="32"/>
          <w:szCs w:val="32"/>
          <w:lang w:val="en-US" w:eastAsia="zh-CN"/>
          <w14:textFill>
            <w14:solidFill>
              <w14:schemeClr w14:val="tx1"/>
            </w14:solidFill>
          </w14:textFill>
        </w:rPr>
      </w:pPr>
      <w:r>
        <w:rPr>
          <w:rFonts w:hint="eastAsia" w:ascii="仿宋_GB2312" w:hAnsi="ˎ̥" w:eastAsia="仿宋_GB2312"/>
          <w:b/>
          <w:bCs w:val="0"/>
          <w:color w:val="000000" w:themeColor="text1"/>
          <w:sz w:val="32"/>
          <w:szCs w:val="32"/>
          <w:lang w:val="en-US" w:eastAsia="zh-CN"/>
          <w14:textFill>
            <w14:solidFill>
              <w14:schemeClr w14:val="tx1"/>
            </w14:solidFill>
          </w14:textFill>
        </w:rPr>
        <w:t>住房保障支出（类）住房改革支出（款）住房公积金（项）。</w:t>
      </w:r>
    </w:p>
    <w:p>
      <w:pPr>
        <w:numPr>
          <w:ilvl w:val="0"/>
          <w:numId w:val="0"/>
        </w:numPr>
        <w:ind w:firstLine="640" w:firstLineChars="200"/>
        <w:rPr>
          <w:rFonts w:hint="eastAsia" w:ascii="仿宋_GB2312" w:hAnsi="ˎ̥" w:eastAsia="仿宋_GB2312"/>
          <w:color w:val="000000" w:themeColor="text1"/>
          <w:sz w:val="32"/>
          <w:szCs w:val="32"/>
          <w14:textFill>
            <w14:solidFill>
              <w14:schemeClr w14:val="tx1"/>
            </w14:solidFill>
          </w14:textFill>
        </w:rPr>
      </w:pPr>
      <w:r>
        <w:rPr>
          <w:rFonts w:hint="eastAsia" w:ascii="仿宋_GB2312" w:hAnsi="ˎ̥" w:eastAsia="仿宋_GB2312"/>
          <w:b w:val="0"/>
          <w:bCs/>
          <w:color w:val="000000" w:themeColor="text1"/>
          <w:sz w:val="32"/>
          <w:szCs w:val="32"/>
          <w:lang w:val="en-US" w:eastAsia="zh-CN"/>
          <w14:textFill>
            <w14:solidFill>
              <w14:schemeClr w14:val="tx1"/>
            </w14:solidFill>
          </w14:textFill>
        </w:rPr>
        <w:t>年初预算数为4.89万元，支出决算为</w:t>
      </w:r>
      <w:r>
        <w:rPr>
          <w:rFonts w:hint="default" w:ascii="仿宋_GB2312" w:hAnsi="ˎ̥" w:eastAsia="仿宋_GB2312"/>
          <w:b w:val="0"/>
          <w:bCs/>
          <w:color w:val="000000" w:themeColor="text1"/>
          <w:sz w:val="32"/>
          <w:szCs w:val="32"/>
          <w:lang w:val="en-US" w:eastAsia="zh-CN"/>
          <w14:textFill>
            <w14:solidFill>
              <w14:schemeClr w14:val="tx1"/>
            </w14:solidFill>
          </w14:textFill>
        </w:rPr>
        <w:t>4.</w:t>
      </w:r>
      <w:r>
        <w:rPr>
          <w:rFonts w:hint="eastAsia" w:ascii="仿宋_GB2312" w:hAnsi="ˎ̥" w:eastAsia="仿宋_GB2312"/>
          <w:b w:val="0"/>
          <w:bCs/>
          <w:color w:val="000000" w:themeColor="text1"/>
          <w:sz w:val="32"/>
          <w:szCs w:val="32"/>
          <w:lang w:val="en-US" w:eastAsia="zh-CN"/>
          <w14:textFill>
            <w14:solidFill>
              <w14:schemeClr w14:val="tx1"/>
            </w14:solidFill>
          </w14:textFill>
        </w:rPr>
        <w:t>89万元，完成年初预算的100%</w:t>
      </w:r>
      <w:r>
        <w:rPr>
          <w:rFonts w:hint="eastAsia" w:ascii="仿宋_GB2312" w:hAnsi="ˎ̥" w:eastAsia="仿宋_GB2312"/>
          <w:b w:val="0"/>
          <w:bCs/>
          <w:color w:val="000000" w:themeColor="text1"/>
          <w:sz w:val="32"/>
          <w:szCs w:val="32"/>
          <w:lang w:val="en-US" w:eastAsia="zh-CN"/>
          <w14:textFill>
            <w14:solidFill>
              <w14:schemeClr w14:val="tx1"/>
            </w14:solidFill>
          </w14:textFill>
        </w:rPr>
        <w:t>。</w:t>
      </w:r>
    </w:p>
    <w:p>
      <w:pPr>
        <w:rPr>
          <w:rFonts w:hint="eastAsia" w:ascii="仿宋_GB2312" w:hAnsi="ˎ̥" w:eastAsia="仿宋_GB2312"/>
          <w:color w:val="000000" w:themeColor="text1"/>
          <w:sz w:val="32"/>
          <w:szCs w:val="32"/>
          <w:highlight w:val="yellow"/>
          <w:lang w:val="en-US" w:eastAsia="zh-CN"/>
          <w14:textFill>
            <w14:solidFill>
              <w14:schemeClr w14:val="tx1"/>
            </w14:solidFill>
          </w14:textFill>
        </w:rPr>
      </w:pPr>
    </w:p>
    <w:p>
      <w:pPr>
        <w:rPr>
          <w:rFonts w:hint="eastAsia" w:ascii="黑体" w:hAnsi="黑体" w:eastAsia="黑体" w:cs="黑体"/>
          <w:sz w:val="32"/>
          <w:szCs w:val="32"/>
          <w:lang w:eastAsia="zh-CN"/>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一般公共预算财政拨款基本支出决算情况说明</w:t>
      </w:r>
      <w:r>
        <w:rPr>
          <w:rFonts w:hint="eastAsia" w:ascii="黑体" w:hAnsi="黑体" w:eastAsia="黑体" w:cs="黑体"/>
          <w:b w:val="0"/>
          <w:bCs/>
          <w:sz w:val="32"/>
          <w:szCs w:val="32"/>
          <w:lang w:eastAsia="zh-CN"/>
        </w:rPr>
        <w:t>。</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highlight w:val="none"/>
          <w:lang w:eastAsia="zh-CN"/>
        </w:rPr>
        <w:t>202</w:t>
      </w:r>
      <w:r>
        <w:rPr>
          <w:rFonts w:hint="eastAsia" w:ascii="仿宋_GB2312" w:hAnsi="ˎ̥" w:eastAsia="仿宋_GB2312"/>
          <w:sz w:val="32"/>
          <w:szCs w:val="32"/>
          <w:highlight w:val="none"/>
          <w:lang w:val="en-US" w:eastAsia="zh-CN"/>
        </w:rPr>
        <w:t>3</w:t>
      </w:r>
      <w:r>
        <w:rPr>
          <w:rFonts w:hint="eastAsia" w:ascii="仿宋_GB2312" w:hAnsi="ˎ̥" w:eastAsia="仿宋_GB2312"/>
          <w:sz w:val="32"/>
          <w:szCs w:val="32"/>
          <w:highlight w:val="none"/>
          <w:lang w:eastAsia="zh-CN"/>
        </w:rPr>
        <w:t>年度</w:t>
      </w:r>
      <w:r>
        <w:rPr>
          <w:rFonts w:hint="eastAsia" w:ascii="仿宋_GB2312" w:hAnsi="ˎ̥" w:eastAsia="仿宋_GB2312"/>
          <w:sz w:val="32"/>
          <w:szCs w:val="32"/>
          <w:highlight w:val="none"/>
        </w:rPr>
        <w:t>财政拨款基本支出</w:t>
      </w:r>
      <w:r>
        <w:rPr>
          <w:rFonts w:hint="eastAsia" w:ascii="仿宋_GB2312" w:hAnsi="ˎ̥" w:eastAsia="仿宋_GB2312"/>
          <w:sz w:val="32"/>
          <w:szCs w:val="32"/>
          <w:highlight w:val="none"/>
          <w:lang w:val="en-US" w:eastAsia="zh-CN"/>
        </w:rPr>
        <w:t>55.76</w:t>
      </w:r>
      <w:r>
        <w:rPr>
          <w:rFonts w:hint="eastAsia" w:ascii="仿宋_GB2312" w:hAnsi="ˎ̥" w:eastAsia="仿宋_GB2312"/>
          <w:sz w:val="32"/>
          <w:szCs w:val="32"/>
          <w:highlight w:val="none"/>
        </w:rPr>
        <w:t>万元，其中：人员经费</w:t>
      </w:r>
      <w:r>
        <w:rPr>
          <w:rFonts w:hint="eastAsia" w:ascii="仿宋_GB2312" w:hAnsi="ˎ̥" w:eastAsia="仿宋_GB2312"/>
          <w:sz w:val="32"/>
          <w:szCs w:val="32"/>
          <w:highlight w:val="none"/>
          <w:lang w:val="en-US" w:eastAsia="zh-CN"/>
        </w:rPr>
        <w:t>54.65</w:t>
      </w:r>
      <w:r>
        <w:rPr>
          <w:rFonts w:hint="eastAsia" w:ascii="仿宋_GB2312" w:hAnsi="ˎ̥" w:eastAsia="仿宋_GB2312"/>
          <w:sz w:val="32"/>
          <w:szCs w:val="32"/>
          <w:highlight w:val="none"/>
        </w:rPr>
        <w:t>万元，主要包括：基本工资、津贴补贴、奖金、社会保障缴费、伙食费、伙食补助费、绩效工</w:t>
      </w:r>
      <w:r>
        <w:rPr>
          <w:rFonts w:hint="eastAsia" w:ascii="仿宋_GB2312" w:hAnsi="ˎ̥" w:eastAsia="仿宋_GB2312"/>
          <w:sz w:val="32"/>
          <w:szCs w:val="32"/>
        </w:rPr>
        <w:t>资、其他工资福利支出等、离休费、退休费、退职（役）费、抚恤金、生活补助、救济费、医疗费、助学金、奖励金、生产补贴、住房公积金、提租补贴、购</w:t>
      </w:r>
      <w:bookmarkStart w:id="119" w:name="_GoBack"/>
      <w:bookmarkEnd w:id="119"/>
      <w:r>
        <w:rPr>
          <w:rFonts w:hint="eastAsia" w:ascii="仿宋_GB2312" w:hAnsi="ˎ̥" w:eastAsia="仿宋_GB2312"/>
          <w:sz w:val="32"/>
          <w:szCs w:val="32"/>
        </w:rPr>
        <w:t>房补贴、其他对个人和家庭的补助支出等</w:t>
      </w:r>
      <w:r>
        <w:rPr>
          <w:rFonts w:hint="eastAsia" w:ascii="仿宋_GB2312" w:hAnsi="ˎ̥" w:eastAsia="仿宋_GB2312"/>
          <w:sz w:val="32"/>
          <w:szCs w:val="32"/>
          <w:highlight w:val="none"/>
        </w:rPr>
        <w:t>。公用经费</w:t>
      </w:r>
      <w:r>
        <w:rPr>
          <w:rFonts w:hint="eastAsia" w:ascii="仿宋_GB2312" w:hAnsi="ˎ̥" w:eastAsia="仿宋_GB2312"/>
          <w:sz w:val="32"/>
          <w:szCs w:val="32"/>
          <w:highlight w:val="none"/>
          <w:lang w:val="en-US" w:eastAsia="zh-CN"/>
        </w:rPr>
        <w:t>1.11</w:t>
      </w:r>
      <w:r>
        <w:rPr>
          <w:rFonts w:hint="eastAsia" w:ascii="仿宋_GB2312" w:hAnsi="ˎ̥" w:eastAsia="仿宋_GB2312"/>
          <w:sz w:val="32"/>
          <w:szCs w:val="32"/>
          <w:highlight w:val="none"/>
        </w:rPr>
        <w:t>万元，</w:t>
      </w:r>
      <w:r>
        <w:rPr>
          <w:rFonts w:hint="eastAsia" w:ascii="仿宋_GB2312" w:hAnsi="ˎ̥" w:eastAsia="仿宋_GB2312"/>
          <w:sz w:val="32"/>
          <w:szCs w:val="32"/>
        </w:rPr>
        <w:t>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七、政府性基金预算财政拨款支出决算情况说明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政府性基金</w:t>
      </w:r>
      <w:r>
        <w:rPr>
          <w:rFonts w:hint="eastAsia" w:ascii="楷体" w:hAnsi="楷体" w:eastAsia="楷体" w:cs="楷体"/>
          <w:sz w:val="32"/>
          <w:szCs w:val="32"/>
        </w:rPr>
        <w:t>预算财政拨款支出决算总体情况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22</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政府性基金预算</w:t>
      </w:r>
      <w:r>
        <w:rPr>
          <w:rFonts w:hint="eastAsia" w:ascii="仿宋_GB2312" w:hAnsi="ˎ̥" w:eastAsia="仿宋_GB2312"/>
          <w:sz w:val="32"/>
          <w:szCs w:val="32"/>
        </w:rPr>
        <w:t>财政拨款支出增加</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w:t>
      </w:r>
      <w:r>
        <w:rPr>
          <w:rFonts w:hint="eastAsia" w:ascii="仿宋_GB2312" w:hAnsi="ˎ̥" w:eastAsia="仿宋_GB2312"/>
          <w:sz w:val="32"/>
          <w:szCs w:val="32"/>
          <w:lang w:val="en-US" w:eastAsia="zh-CN"/>
        </w:rPr>
        <w:t>0</w:t>
      </w:r>
      <w:r>
        <w:rPr>
          <w:rFonts w:hint="eastAsia" w:ascii="仿宋_GB2312" w:hAnsi="ˎ̥" w:eastAsia="仿宋_GB2312"/>
          <w:sz w:val="32"/>
          <w:szCs w:val="32"/>
        </w:rPr>
        <w:t>%</w:t>
      </w:r>
      <w:r>
        <w:rPr>
          <w:rFonts w:hint="eastAsia" w:ascii="仿宋_GB2312" w:hAnsi="ˎ̥" w:eastAsia="仿宋_GB2312"/>
          <w:sz w:val="32"/>
          <w:szCs w:val="32"/>
          <w:lang w:eastAsia="zh-CN"/>
        </w:rPr>
        <w:t>，主要原因是没有该项预算</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（二）政府性基金预算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highlight w:val="yellow"/>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（三）政府性基金预算</w:t>
      </w:r>
      <w:r>
        <w:rPr>
          <w:rFonts w:hint="eastAsia" w:ascii="楷体" w:hAnsi="楷体" w:eastAsia="楷体" w:cs="楷体"/>
          <w:sz w:val="32"/>
          <w:szCs w:val="32"/>
        </w:rPr>
        <w:t>财政拨款支出决算具体情况。</w:t>
      </w:r>
    </w:p>
    <w:p>
      <w:pPr>
        <w:ind w:firstLine="640" w:firstLineChars="200"/>
        <w:rPr>
          <w:rFonts w:hint="eastAsia" w:ascii="仿宋_GB2312" w:hAnsi="ˎ̥" w:eastAsia="仿宋_GB2312" w:cs="Times New Roman"/>
          <w:bCs w:val="0"/>
          <w:sz w:val="32"/>
          <w:szCs w:val="32"/>
          <w:highlight w:val="yellow"/>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年度政府性基金预算财政拨款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八、国有资本经营预算财政拨款支出决算情况说明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国有资本经营预算</w:t>
      </w:r>
      <w:r>
        <w:rPr>
          <w:rFonts w:hint="eastAsia" w:ascii="楷体" w:hAnsi="楷体" w:eastAsia="楷体" w:cs="楷体"/>
          <w:sz w:val="32"/>
          <w:szCs w:val="32"/>
        </w:rPr>
        <w:t>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22</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国有资本经营预算</w:t>
      </w:r>
      <w:r>
        <w:rPr>
          <w:rFonts w:hint="eastAsia" w:ascii="仿宋_GB2312" w:hAnsi="ˎ̥" w:eastAsia="仿宋_GB2312"/>
          <w:sz w:val="32"/>
          <w:szCs w:val="32"/>
        </w:rPr>
        <w:t>财政拨款支出增加</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w:t>
      </w:r>
      <w:r>
        <w:rPr>
          <w:rFonts w:hint="eastAsia" w:ascii="仿宋_GB2312" w:hAnsi="ˎ̥" w:eastAsia="仿宋_GB2312"/>
          <w:sz w:val="32"/>
          <w:szCs w:val="32"/>
          <w:lang w:val="en-US" w:eastAsia="zh-CN"/>
        </w:rPr>
        <w:t>0</w:t>
      </w:r>
      <w:r>
        <w:rPr>
          <w:rFonts w:hint="eastAsia" w:ascii="仿宋_GB2312" w:hAnsi="ˎ̥" w:eastAsia="仿宋_GB2312"/>
          <w:sz w:val="32"/>
          <w:szCs w:val="32"/>
        </w:rPr>
        <w:t>%</w:t>
      </w:r>
      <w:r>
        <w:rPr>
          <w:rFonts w:hint="eastAsia" w:ascii="仿宋_GB2312" w:hAnsi="ˎ̥" w:eastAsia="仿宋_GB2312"/>
          <w:sz w:val="32"/>
          <w:szCs w:val="32"/>
          <w:lang w:eastAsia="zh-CN"/>
        </w:rPr>
        <w:t>，主要原因是没有该项预算。</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（二）国有资本经营预算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highlight w:val="yellow"/>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（三）国有资本经营预算</w:t>
      </w:r>
      <w:r>
        <w:rPr>
          <w:rFonts w:hint="eastAsia" w:ascii="楷体" w:hAnsi="楷体" w:eastAsia="楷体" w:cs="楷体"/>
          <w:sz w:val="32"/>
          <w:szCs w:val="32"/>
        </w:rPr>
        <w:t>财政拨款支出决算具体情况。</w:t>
      </w:r>
    </w:p>
    <w:p>
      <w:pPr>
        <w:ind w:firstLine="640" w:firstLineChars="200"/>
        <w:rPr>
          <w:rFonts w:hint="eastAsia" w:ascii="仿宋_GB2312" w:hAnsi="ˎ̥" w:eastAsia="仿宋_GB2312" w:cs="Times New Roman"/>
          <w:bCs w:val="0"/>
          <w:sz w:val="32"/>
          <w:szCs w:val="32"/>
          <w:lang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年度国有资本经营预算财政拨款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lang w:val="en-US" w:eastAsia="zh-CN"/>
        </w:rPr>
        <w:t>一般公共预算</w:t>
      </w:r>
      <w:r>
        <w:rPr>
          <w:rFonts w:hint="eastAsia" w:ascii="楷体" w:hAnsi="楷体" w:eastAsia="楷体" w:cs="楷体"/>
          <w:b/>
          <w:sz w:val="32"/>
          <w:szCs w:val="32"/>
        </w:rPr>
        <w:t>财政拨款“三公”经费支出决算总体情况说明。</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与预算数持平。</w:t>
      </w:r>
    </w:p>
    <w:p>
      <w:pPr>
        <w:rPr>
          <w:rFonts w:hint="eastAsia" w:ascii="楷体" w:hAnsi="楷体" w:eastAsia="楷体" w:cs="楷体"/>
          <w:b/>
          <w:bCs/>
          <w:sz w:val="32"/>
          <w:szCs w:val="32"/>
        </w:rPr>
      </w:pPr>
      <w:r>
        <w:rPr>
          <w:rFonts w:hint="eastAsia" w:ascii="楷体" w:hAnsi="楷体" w:eastAsia="楷体" w:cs="楷体"/>
          <w:b/>
          <w:bCs/>
          <w:sz w:val="32"/>
          <w:szCs w:val="32"/>
        </w:rPr>
        <w:t xml:space="preserve">  </w:t>
      </w: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lang w:eastAsia="zh-CN"/>
        </w:rPr>
        <w:t>（二）一般公共预算</w:t>
      </w:r>
      <w:r>
        <w:rPr>
          <w:rFonts w:hint="eastAsia" w:ascii="楷体" w:hAnsi="楷体" w:eastAsia="楷体" w:cs="楷体"/>
          <w:b/>
          <w:bCs/>
          <w:sz w:val="32"/>
          <w:szCs w:val="32"/>
        </w:rPr>
        <w:t>财政拨款“三公”经费支出决算具体情况说明。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“三公”经费支出决算中，因公出国（境）费支出决算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%。具体情况如下：</w:t>
      </w:r>
    </w:p>
    <w:p>
      <w:pPr>
        <w:ind w:firstLine="643" w:firstLineChars="200"/>
        <w:rPr>
          <w:rFonts w:hint="eastAsia" w:ascii="仿宋_GB2312" w:hAnsi="ˎ̥" w:eastAsia="仿宋_GB2312"/>
          <w:sz w:val="32"/>
          <w:szCs w:val="32"/>
        </w:rPr>
      </w:pPr>
      <w:r>
        <w:rPr>
          <w:rFonts w:hint="eastAsia" w:ascii="仿宋_GB2312" w:hAnsi="ˎ̥" w:eastAsia="仿宋_GB2312"/>
          <w:b/>
          <w:sz w:val="32"/>
          <w:szCs w:val="32"/>
          <w:lang w:val="en-US" w:eastAsia="zh-CN"/>
        </w:rPr>
        <w:t>1.</w:t>
      </w:r>
      <w:r>
        <w:rPr>
          <w:rFonts w:hint="eastAsia" w:ascii="仿宋_GB2312" w:hAnsi="ˎ̥" w:eastAsia="仿宋_GB2312"/>
          <w:b/>
          <w:sz w:val="32"/>
          <w:szCs w:val="32"/>
        </w:rPr>
        <w:t>因公出国（境）费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万元。全年安排因公出国（境）团组</w:t>
      </w:r>
      <w:r>
        <w:rPr>
          <w:rFonts w:hint="eastAsia" w:ascii="仿宋_GB2312" w:hAnsi="ˎ̥" w:eastAsia="仿宋_GB2312"/>
          <w:sz w:val="32"/>
          <w:szCs w:val="32"/>
          <w:lang w:val="en-US" w:eastAsia="zh-CN"/>
        </w:rPr>
        <w:t>0</w:t>
      </w:r>
      <w:r>
        <w:rPr>
          <w:rFonts w:hint="eastAsia" w:ascii="仿宋_GB2312" w:hAnsi="ˎ̥" w:eastAsia="仿宋_GB2312"/>
          <w:sz w:val="32"/>
          <w:szCs w:val="32"/>
        </w:rPr>
        <w:t>个，因公出国（境）</w:t>
      </w:r>
      <w:r>
        <w:rPr>
          <w:rFonts w:hint="eastAsia" w:ascii="仿宋_GB2312" w:hAnsi="ˎ̥" w:eastAsia="仿宋_GB2312"/>
          <w:sz w:val="32"/>
          <w:szCs w:val="32"/>
          <w:lang w:val="en-US" w:eastAsia="zh-CN"/>
        </w:rPr>
        <w:t>0</w:t>
      </w:r>
      <w:r>
        <w:rPr>
          <w:rFonts w:hint="eastAsia" w:ascii="仿宋_GB2312" w:hAnsi="ˎ̥" w:eastAsia="仿宋_GB2312"/>
          <w:sz w:val="32"/>
          <w:szCs w:val="32"/>
        </w:rPr>
        <w:t>人次。</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因公出国（境)费支出决算与预算数持平。</w:t>
      </w:r>
    </w:p>
    <w:p>
      <w:pPr>
        <w:numPr>
          <w:ilvl w:val="0"/>
          <w:numId w:val="0"/>
        </w:num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2.</w:t>
      </w:r>
      <w:r>
        <w:rPr>
          <w:rFonts w:hint="eastAsia" w:ascii="仿宋_GB2312" w:hAnsi="ˎ̥" w:eastAsia="仿宋_GB2312"/>
          <w:b/>
          <w:sz w:val="32"/>
          <w:szCs w:val="32"/>
        </w:rPr>
        <w:t>公务用车购置及运行费支出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万元。其中：</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万元，全年购置公务用车</w:t>
      </w:r>
      <w:r>
        <w:rPr>
          <w:rFonts w:hint="eastAsia" w:ascii="仿宋_GB2312" w:hAnsi="ˎ̥" w:eastAsia="仿宋_GB2312"/>
          <w:sz w:val="32"/>
          <w:szCs w:val="32"/>
          <w:lang w:val="en-US" w:eastAsia="zh-CN"/>
        </w:rPr>
        <w:t>0</w:t>
      </w:r>
      <w:r>
        <w:rPr>
          <w:rFonts w:hint="eastAsia" w:ascii="仿宋_GB2312" w:hAnsi="ˎ̥" w:eastAsia="仿宋_GB2312"/>
          <w:sz w:val="32"/>
          <w:szCs w:val="32"/>
        </w:rPr>
        <w:t>辆，年末公务用车保有量</w:t>
      </w:r>
      <w:r>
        <w:rPr>
          <w:rFonts w:hint="eastAsia" w:ascii="仿宋_GB2312" w:hAnsi="ˎ̥" w:eastAsia="仿宋_GB2312"/>
          <w:sz w:val="32"/>
          <w:szCs w:val="32"/>
          <w:lang w:val="en-US" w:eastAsia="zh-CN"/>
        </w:rPr>
        <w:t>0</w:t>
      </w:r>
      <w:r>
        <w:rPr>
          <w:rFonts w:hint="eastAsia" w:ascii="仿宋_GB2312" w:hAnsi="ˎ̥" w:eastAsia="仿宋_GB2312"/>
          <w:sz w:val="32"/>
          <w:szCs w:val="32"/>
        </w:rPr>
        <w:t>辆。</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公务用车运行</w:t>
      </w:r>
      <w:r>
        <w:rPr>
          <w:rFonts w:hint="eastAsia" w:ascii="仿宋_GB2312" w:hAnsi="ˎ̥" w:eastAsia="仿宋_GB2312"/>
          <w:b/>
          <w:sz w:val="32"/>
          <w:szCs w:val="32"/>
          <w:lang w:eastAsia="zh-CN"/>
        </w:rPr>
        <w:t>维护费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0" w:firstLineChars="200"/>
        <w:rPr>
          <w:rFonts w:hint="eastAsia" w:ascii="仿宋_GB2312" w:hAnsi="ˎ̥" w:eastAsia="仿宋_GB2312"/>
          <w:b w:val="0"/>
          <w:bCs/>
          <w:sz w:val="32"/>
          <w:szCs w:val="32"/>
          <w:lang w:val="en-US" w:eastAsia="zh-CN"/>
        </w:rPr>
      </w:pPr>
      <w:r>
        <w:rPr>
          <w:rFonts w:hint="eastAsia" w:ascii="仿宋_GB2312" w:hAnsi="ˎ̥" w:eastAsia="仿宋_GB2312"/>
          <w:b w:val="0"/>
          <w:bCs/>
          <w:sz w:val="32"/>
          <w:szCs w:val="32"/>
        </w:rPr>
        <w:t>公务用车购置及运行费支出</w:t>
      </w:r>
      <w:r>
        <w:rPr>
          <w:rFonts w:hint="eastAsia" w:ascii="仿宋_GB2312" w:hAnsi="ˎ̥" w:eastAsia="仿宋_GB2312"/>
          <w:b w:val="0"/>
          <w:bCs/>
          <w:sz w:val="32"/>
          <w:szCs w:val="32"/>
          <w:lang w:val="en-US" w:eastAsia="zh-CN"/>
        </w:rPr>
        <w:t>决算数</w:t>
      </w:r>
      <w:r>
        <w:rPr>
          <w:rFonts w:hint="eastAsia" w:ascii="仿宋_GB2312" w:hAnsi="ˎ̥" w:eastAsia="仿宋_GB2312"/>
          <w:sz w:val="32"/>
          <w:szCs w:val="32"/>
          <w:lang w:val="en-US" w:eastAsia="zh-CN"/>
        </w:rPr>
        <w:t>比预算数持平。</w:t>
      </w:r>
    </w:p>
    <w:p>
      <w:pPr>
        <w:numPr>
          <w:ilvl w:val="0"/>
          <w:numId w:val="0"/>
        </w:numPr>
        <w:ind w:left="0" w:leftChars="0" w:firstLine="0" w:firstLineChars="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 xml:space="preserve">    3.</w:t>
      </w:r>
      <w:r>
        <w:rPr>
          <w:rFonts w:hint="eastAsia" w:ascii="仿宋_GB2312" w:hAnsi="ˎ̥" w:eastAsia="仿宋_GB2312"/>
          <w:b/>
          <w:sz w:val="32"/>
          <w:szCs w:val="32"/>
        </w:rPr>
        <w:t>公务接待费支出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val="en-US" w:eastAsia="zh-CN"/>
        </w:rPr>
        <w:t>其中：</w:t>
      </w:r>
    </w:p>
    <w:p>
      <w:pPr>
        <w:numPr>
          <w:ilvl w:val="0"/>
          <w:numId w:val="0"/>
        </w:numPr>
        <w:ind w:left="0" w:leftChars="0" w:firstLine="643" w:firstLineChars="200"/>
        <w:rPr>
          <w:rFonts w:hint="eastAsia" w:ascii="仿宋_GB2312" w:hAnsi="ˎ̥" w:eastAsia="仿宋_GB2312"/>
          <w:sz w:val="32"/>
          <w:szCs w:val="32"/>
        </w:rPr>
      </w:pPr>
      <w:r>
        <w:rPr>
          <w:rFonts w:hint="eastAsia" w:ascii="仿宋_GB2312" w:hAnsi="ˎ̥" w:eastAsia="仿宋_GB2312"/>
          <w:b/>
          <w:sz w:val="32"/>
          <w:szCs w:val="32"/>
          <w:lang w:eastAsia="zh-CN"/>
        </w:rPr>
        <w:t>国内接待费</w:t>
      </w:r>
      <w:r>
        <w:rPr>
          <w:rFonts w:hint="eastAsia" w:ascii="仿宋_GB2312" w:hAnsi="ˎ̥" w:eastAsia="仿宋_GB2312"/>
          <w:sz w:val="32"/>
          <w:szCs w:val="32"/>
        </w:rPr>
        <w:t>支出</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国内公务接待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批次，接待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人次</w:t>
      </w:r>
      <w:r>
        <w:rPr>
          <w:rFonts w:hint="eastAsia" w:ascii="仿宋_GB2312" w:hAnsi="ˎ̥" w:eastAsia="仿宋_GB2312"/>
          <w:sz w:val="32"/>
          <w:szCs w:val="32"/>
        </w:rPr>
        <w:t>。</w:t>
      </w:r>
    </w:p>
    <w:p>
      <w:pPr>
        <w:numPr>
          <w:ilvl w:val="0"/>
          <w:numId w:val="0"/>
        </w:numPr>
        <w:ind w:left="0" w:leftChars="0"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国（境）外接待费</w:t>
      </w:r>
      <w:r>
        <w:rPr>
          <w:rFonts w:hint="eastAsia" w:ascii="仿宋_GB2312" w:hAnsi="ˎ̥" w:eastAsia="仿宋_GB2312"/>
          <w:sz w:val="32"/>
          <w:szCs w:val="32"/>
          <w:lang w:eastAsia="zh-CN"/>
        </w:rPr>
        <w:t>支出</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万元，</w:t>
      </w:r>
      <w:r>
        <w:rPr>
          <w:rFonts w:hint="eastAsia" w:ascii="仿宋_GB2312" w:hAnsi="ˎ̥" w:eastAsia="仿宋_GB2312"/>
          <w:sz w:val="32"/>
          <w:szCs w:val="32"/>
        </w:rPr>
        <w:t>国（境）外公务接待</w:t>
      </w:r>
      <w:r>
        <w:rPr>
          <w:rFonts w:hint="eastAsia" w:ascii="仿宋_GB2312" w:hAnsi="ˎ̥" w:eastAsia="仿宋_GB2312"/>
          <w:sz w:val="32"/>
          <w:szCs w:val="32"/>
          <w:lang w:val="en-US" w:eastAsia="zh-CN"/>
        </w:rPr>
        <w:t>0</w:t>
      </w:r>
      <w:r>
        <w:rPr>
          <w:rFonts w:hint="eastAsia" w:ascii="仿宋_GB2312" w:hAnsi="ˎ̥" w:eastAsia="仿宋_GB2312"/>
          <w:sz w:val="32"/>
          <w:szCs w:val="32"/>
        </w:rPr>
        <w:t>批次</w:t>
      </w:r>
      <w:r>
        <w:rPr>
          <w:rFonts w:hint="eastAsia" w:ascii="仿宋_GB2312" w:hAnsi="ˎ̥" w:eastAsia="仿宋_GB2312"/>
          <w:sz w:val="32"/>
          <w:szCs w:val="32"/>
          <w:lang w:eastAsia="zh-CN"/>
        </w:rPr>
        <w:t>，接待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人次。</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highlight w:val="none"/>
          <w:lang w:val="en-US" w:eastAsia="zh-CN"/>
        </w:rPr>
        <w:t>公务接待费支出决算数比预算数持平。</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w:t>
      </w:r>
      <w:r>
        <w:rPr>
          <w:rFonts w:hint="eastAsia" w:ascii="黑体" w:hAnsi="黑体" w:eastAsia="黑体" w:cs="黑体"/>
          <w:b w:val="0"/>
          <w:bCs/>
          <w:sz w:val="32"/>
          <w:szCs w:val="32"/>
          <w:lang w:eastAsia="zh-CN"/>
        </w:rPr>
        <w:t>政府性基金</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政府性基金预算财政拨款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十一、</w:t>
      </w:r>
      <w:r>
        <w:rPr>
          <w:rFonts w:hint="eastAsia" w:ascii="黑体" w:hAnsi="黑体" w:eastAsia="黑体" w:cs="黑体"/>
          <w:b w:val="0"/>
          <w:bCs/>
          <w:sz w:val="32"/>
          <w:szCs w:val="32"/>
          <w:lang w:eastAsia="zh-CN"/>
        </w:rPr>
        <w:t>国有资本经营</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国有资本经营预算财政拨款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w:t>
      </w:r>
      <w:r>
        <w:rPr>
          <w:rFonts w:hint="eastAsia" w:ascii="黑体" w:hAnsi="黑体" w:eastAsia="黑体" w:cs="黑体"/>
          <w:b w:val="0"/>
          <w:bCs/>
          <w:sz w:val="32"/>
          <w:szCs w:val="32"/>
        </w:rPr>
        <w:t>预算绩效情况说明</w:t>
      </w:r>
      <w:r>
        <w:rPr>
          <w:rFonts w:hint="eastAsia" w:ascii="黑体" w:hAnsi="黑体" w:eastAsia="黑体" w:cs="黑体"/>
          <w:b w:val="0"/>
          <w:bCs/>
          <w:sz w:val="32"/>
          <w:szCs w:val="32"/>
          <w:lang w:eastAsia="zh-CN"/>
        </w:rPr>
        <w:t>。</w:t>
      </w:r>
    </w:p>
    <w:p>
      <w:pPr>
        <w:spacing w:beforeAutospacing="0" w:afterAutospacing="0"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rPr>
        <w:t>绩效管理工作开展情况。</w:t>
      </w:r>
    </w:p>
    <w:p>
      <w:pPr>
        <w:spacing w:beforeAutospacing="0" w:afterAutospacing="0" w:line="240" w:lineRule="auto"/>
        <w:ind w:firstLine="964" w:firstLineChars="300"/>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无。</w:t>
      </w:r>
    </w:p>
    <w:p>
      <w:pPr>
        <w:spacing w:beforeAutospacing="0" w:afterAutospacing="0" w:line="578" w:lineRule="exact"/>
        <w:ind w:firstLine="643" w:firstLineChars="200"/>
        <w:rPr>
          <w:rFonts w:hint="default" w:ascii="楷体" w:hAnsi="楷体" w:eastAsia="楷体" w:cs="楷体"/>
          <w:b/>
          <w:sz w:val="32"/>
          <w:szCs w:val="32"/>
          <w:lang w:val="en-US" w:eastAsia="zh-CN"/>
        </w:rPr>
      </w:pPr>
      <w:r>
        <w:rPr>
          <w:rFonts w:hint="eastAsia" w:ascii="楷体" w:hAnsi="楷体" w:eastAsia="楷体" w:cs="楷体"/>
          <w:b/>
          <w:sz w:val="32"/>
          <w:szCs w:val="32"/>
          <w:lang w:eastAsia="zh-CN"/>
        </w:rPr>
        <w:t>（二）</w:t>
      </w:r>
      <w:r>
        <w:rPr>
          <w:rFonts w:hint="eastAsia" w:ascii="楷体" w:hAnsi="楷体" w:eastAsia="楷体" w:cs="楷体"/>
          <w:b/>
          <w:sz w:val="32"/>
          <w:szCs w:val="32"/>
        </w:rPr>
        <w:t>部门决算中项目绩效自评结果。</w:t>
      </w:r>
      <w:r>
        <w:rPr>
          <w:rFonts w:hint="eastAsia" w:ascii="楷体" w:hAnsi="楷体" w:eastAsia="楷体" w:cs="楷体"/>
          <w:b/>
          <w:sz w:val="32"/>
          <w:szCs w:val="32"/>
          <w:lang w:eastAsia="zh-CN"/>
        </w:rPr>
        <w:t>（如有）</w:t>
      </w:r>
    </w:p>
    <w:p>
      <w:pPr>
        <w:spacing w:beforeAutospacing="0" w:afterAutospacing="0" w:line="240" w:lineRule="auto"/>
        <w:ind w:firstLine="964" w:firstLineChars="300"/>
        <w:rPr>
          <w:rFonts w:hint="eastAsia" w:ascii="楷体" w:hAnsi="楷体" w:eastAsia="楷体" w:cs="楷体"/>
          <w:color w:val="auto"/>
          <w:sz w:val="32"/>
          <w:szCs w:val="32"/>
          <w:lang w:val="en-US" w:eastAsia="zh-CN"/>
        </w:rPr>
      </w:pPr>
      <w:r>
        <w:rPr>
          <w:rFonts w:hint="eastAsia" w:ascii="楷体" w:hAnsi="楷体" w:eastAsia="楷体" w:cs="楷体"/>
          <w:b/>
          <w:bCs/>
          <w:color w:val="auto"/>
          <w:sz w:val="32"/>
          <w:szCs w:val="32"/>
          <w:lang w:val="en-US" w:eastAsia="zh-CN"/>
        </w:rPr>
        <w:t>无。</w:t>
      </w:r>
    </w:p>
    <w:p>
      <w:pPr>
        <w:numPr>
          <w:ilvl w:val="0"/>
          <w:numId w:val="5"/>
        </w:numPr>
        <w:spacing w:beforeAutospacing="0" w:afterAutospacing="0" w:line="578" w:lineRule="exact"/>
        <w:ind w:firstLine="643" w:firstLineChars="200"/>
        <w:rPr>
          <w:rFonts w:hint="eastAsia" w:ascii="楷体" w:hAnsi="楷体" w:eastAsia="楷体" w:cs="楷体"/>
          <w:b/>
          <w:bCs w:val="0"/>
          <w:sz w:val="32"/>
          <w:szCs w:val="32"/>
        </w:rPr>
      </w:pPr>
      <w:r>
        <w:rPr>
          <w:rFonts w:hint="eastAsia" w:ascii="楷体" w:hAnsi="楷体" w:eastAsia="楷体" w:cs="楷体"/>
          <w:b/>
          <w:bCs w:val="0"/>
          <w:sz w:val="32"/>
          <w:szCs w:val="32"/>
          <w:lang w:eastAsia="zh-CN"/>
        </w:rPr>
        <w:t>财政评价项目绩效评价结果</w:t>
      </w:r>
      <w:r>
        <w:rPr>
          <w:rFonts w:hint="eastAsia" w:ascii="楷体" w:hAnsi="楷体" w:eastAsia="楷体" w:cs="楷体"/>
          <w:b/>
          <w:bCs w:val="0"/>
          <w:sz w:val="32"/>
          <w:szCs w:val="32"/>
        </w:rPr>
        <w:t>。</w:t>
      </w:r>
    </w:p>
    <w:p>
      <w:pPr>
        <w:numPr>
          <w:ilvl w:val="0"/>
          <w:numId w:val="0"/>
        </w:numPr>
        <w:spacing w:beforeAutospacing="0" w:afterAutospacing="0" w:line="578" w:lineRule="exact"/>
        <w:ind w:firstLine="964" w:firstLineChars="300"/>
        <w:rPr>
          <w:rFonts w:hint="eastAsia" w:ascii="楷体" w:hAnsi="楷体" w:eastAsia="楷体" w:cs="楷体"/>
          <w:b/>
          <w:bCs w:val="0"/>
          <w:sz w:val="32"/>
          <w:szCs w:val="32"/>
          <w:lang w:eastAsia="zh-CN"/>
        </w:rPr>
      </w:pPr>
      <w:r>
        <w:rPr>
          <w:rFonts w:hint="eastAsia" w:ascii="楷体" w:hAnsi="楷体" w:eastAsia="楷体" w:cs="楷体"/>
          <w:b/>
          <w:bCs w:val="0"/>
          <w:sz w:val="32"/>
          <w:szCs w:val="32"/>
          <w:lang w:eastAsia="zh-CN"/>
        </w:rPr>
        <w:t>无。</w:t>
      </w:r>
    </w:p>
    <w:p>
      <w:pPr>
        <w:numPr>
          <w:ilvl w:val="0"/>
          <w:numId w:val="5"/>
        </w:numPr>
        <w:spacing w:beforeAutospacing="0" w:afterAutospacing="0" w:line="578" w:lineRule="exact"/>
        <w:ind w:firstLine="643" w:firstLineChars="200"/>
        <w:rPr>
          <w:rFonts w:hint="eastAsia" w:ascii="楷体" w:hAnsi="楷体" w:eastAsia="楷体" w:cs="楷体"/>
          <w:b/>
          <w:sz w:val="32"/>
          <w:szCs w:val="32"/>
          <w:u w:val="none"/>
        </w:rPr>
      </w:pPr>
      <w:r>
        <w:rPr>
          <w:rFonts w:hint="eastAsia" w:ascii="楷体" w:hAnsi="楷体" w:eastAsia="楷体" w:cs="楷体"/>
          <w:b/>
          <w:sz w:val="32"/>
          <w:szCs w:val="32"/>
          <w:lang w:val="en-US"/>
        </w:rPr>
        <w:t>部门评价项目绩效评价结果</w:t>
      </w:r>
      <w:r>
        <w:rPr>
          <w:rFonts w:hint="eastAsia" w:ascii="楷体" w:hAnsi="楷体" w:eastAsia="楷体" w:cs="楷体"/>
          <w:b/>
          <w:sz w:val="32"/>
          <w:szCs w:val="32"/>
          <w:u w:val="none"/>
        </w:rPr>
        <w:t>。</w:t>
      </w:r>
    </w:p>
    <w:p>
      <w:pPr>
        <w:numPr>
          <w:ilvl w:val="0"/>
          <w:numId w:val="0"/>
        </w:numPr>
        <w:spacing w:beforeAutospacing="0" w:afterAutospacing="0" w:line="578" w:lineRule="exact"/>
        <w:ind w:firstLine="964" w:firstLineChars="300"/>
        <w:rPr>
          <w:rFonts w:hint="eastAsia" w:ascii="楷体" w:hAnsi="楷体" w:eastAsia="楷体" w:cs="楷体"/>
          <w:b/>
          <w:sz w:val="32"/>
          <w:szCs w:val="32"/>
          <w:u w:val="none"/>
          <w:lang w:eastAsia="zh-CN"/>
        </w:rPr>
      </w:pPr>
      <w:r>
        <w:rPr>
          <w:rFonts w:hint="eastAsia" w:ascii="楷体" w:hAnsi="楷体" w:eastAsia="楷体" w:cs="楷体"/>
          <w:b/>
          <w:sz w:val="32"/>
          <w:szCs w:val="32"/>
          <w:u w:val="none"/>
          <w:lang w:eastAsia="zh-CN"/>
        </w:rPr>
        <w:t>无。</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十三、</w:t>
      </w:r>
      <w:r>
        <w:rPr>
          <w:rFonts w:hint="eastAsia" w:ascii="黑体" w:hAnsi="黑体" w:eastAsia="黑体" w:cs="黑体"/>
          <w:b w:val="0"/>
          <w:bCs/>
          <w:sz w:val="32"/>
          <w:szCs w:val="32"/>
        </w:rPr>
        <w:t>其他重要事项情况说明</w:t>
      </w:r>
      <w:r>
        <w:rPr>
          <w:rFonts w:hint="eastAsia" w:ascii="黑体" w:hAnsi="黑体" w:eastAsia="黑体" w:cs="黑体"/>
          <w:b w:val="0"/>
          <w:bCs/>
          <w:sz w:val="32"/>
          <w:szCs w:val="32"/>
          <w:lang w:eastAsia="zh-CN"/>
        </w:rPr>
        <w:t>。</w:t>
      </w:r>
    </w:p>
    <w:p>
      <w:pPr>
        <w:ind w:firstLine="643" w:firstLineChars="200"/>
        <w:rPr>
          <w:rFonts w:hint="eastAsia" w:ascii="楷体" w:hAnsi="楷体" w:eastAsia="楷体" w:cs="楷体"/>
          <w:b/>
          <w:sz w:val="32"/>
          <w:szCs w:val="32"/>
        </w:rPr>
      </w:pPr>
      <w:bookmarkStart w:id="95" w:name="_Toc5978_WPSOffice_Level2"/>
      <w:bookmarkEnd w:id="95"/>
      <w:bookmarkStart w:id="96" w:name="_Toc15262_WPSOffice_Level2"/>
      <w:bookmarkEnd w:id="96"/>
      <w:bookmarkStart w:id="97" w:name="_Toc23598_WPSOffice_Level2"/>
      <w:bookmarkEnd w:id="97"/>
      <w:bookmarkStart w:id="98" w:name="_Toc32639_WPSOffice_Level2"/>
      <w:bookmarkEnd w:id="98"/>
      <w:bookmarkStart w:id="99" w:name="_Toc18325_WPSOffice_Level2"/>
      <w:bookmarkEnd w:id="99"/>
      <w:bookmarkStart w:id="100" w:name="_Toc15565_WPSOffice_Level2"/>
      <w:bookmarkEnd w:id="100"/>
      <w:r>
        <w:rPr>
          <w:rFonts w:hint="eastAsia" w:ascii="楷体" w:hAnsi="楷体" w:eastAsia="楷体" w:cs="楷体"/>
          <w:b/>
          <w:sz w:val="32"/>
          <w:szCs w:val="32"/>
          <w:lang w:eastAsia="zh-CN"/>
        </w:rPr>
        <w:t>（一）</w:t>
      </w:r>
      <w:r>
        <w:rPr>
          <w:rFonts w:hint="eastAsia" w:ascii="楷体" w:hAnsi="楷体" w:eastAsia="楷体" w:cs="楷体"/>
          <w:b/>
          <w:sz w:val="32"/>
          <w:szCs w:val="32"/>
        </w:rPr>
        <w:t>机关运行经费支出情况。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年度三亚市天涯区抱龙幼儿园</w:t>
      </w:r>
      <w:r>
        <w:rPr>
          <w:rFonts w:hint="eastAsia" w:ascii="仿宋_GB2312" w:hAnsi="ˎ̥" w:eastAsia="仿宋_GB2312"/>
          <w:sz w:val="32"/>
          <w:szCs w:val="32"/>
        </w:rPr>
        <w:t>机关运行经费</w:t>
      </w:r>
      <w:r>
        <w:rPr>
          <w:rFonts w:hint="eastAsia" w:ascii="仿宋_GB2312" w:hAnsi="ˎ̥" w:eastAsia="仿宋_GB2312"/>
          <w:sz w:val="32"/>
          <w:szCs w:val="32"/>
          <w:lang w:val="en-US" w:eastAsia="zh-CN"/>
        </w:rPr>
        <w:t>0</w:t>
      </w:r>
      <w:r>
        <w:rPr>
          <w:rFonts w:hint="eastAsia" w:ascii="仿宋_GB2312" w:hAnsi="ˎ̥" w:eastAsia="仿宋_GB2312"/>
          <w:sz w:val="32"/>
          <w:szCs w:val="32"/>
        </w:rPr>
        <w:t>万</w:t>
      </w:r>
      <w:r>
        <w:rPr>
          <w:rFonts w:hint="eastAsia" w:ascii="仿宋_GB2312" w:hAnsi="ˎ̥" w:eastAsia="仿宋_GB2312"/>
          <w:sz w:val="32"/>
          <w:szCs w:val="32"/>
          <w:lang w:eastAsia="zh-CN"/>
        </w:rPr>
        <w:t>元。</w:t>
      </w:r>
      <w:r>
        <w:rPr>
          <w:rFonts w:hint="eastAsia" w:ascii="仿宋_GB2312" w:hAnsi="ˎ̥" w:eastAsia="仿宋_GB2312"/>
          <w:sz w:val="32"/>
          <w:szCs w:val="32"/>
        </w:rPr>
        <w:t>主要原因是：</w:t>
      </w:r>
      <w:r>
        <w:rPr>
          <w:rFonts w:hint="eastAsia" w:ascii="仿宋_GB2312" w:hAnsi="ˎ̥" w:eastAsia="仿宋_GB2312"/>
          <w:sz w:val="32"/>
          <w:szCs w:val="32"/>
          <w:lang w:eastAsia="zh-CN"/>
        </w:rPr>
        <w:t>事业单位没有机关运行经费支出。</w:t>
      </w:r>
    </w:p>
    <w:p>
      <w:pPr>
        <w:ind w:firstLine="643" w:firstLineChars="200"/>
        <w:rPr>
          <w:rFonts w:hint="eastAsia" w:ascii="楷体" w:hAnsi="楷体" w:eastAsia="楷体" w:cs="楷体"/>
          <w:b/>
          <w:sz w:val="32"/>
          <w:szCs w:val="32"/>
        </w:rPr>
      </w:pPr>
      <w:bookmarkStart w:id="101" w:name="_Toc23966_WPSOffice_Level2"/>
      <w:bookmarkEnd w:id="101"/>
      <w:bookmarkStart w:id="102" w:name="_Toc13084_WPSOffice_Level2"/>
      <w:bookmarkEnd w:id="102"/>
      <w:bookmarkStart w:id="103" w:name="_Toc32689_WPSOffice_Level2"/>
      <w:bookmarkEnd w:id="103"/>
      <w:bookmarkStart w:id="104" w:name="_Toc3131_WPSOffice_Level2"/>
      <w:bookmarkEnd w:id="104"/>
      <w:bookmarkStart w:id="105" w:name="_Toc30383_WPSOffice_Level2"/>
      <w:bookmarkEnd w:id="105"/>
      <w:bookmarkStart w:id="106" w:name="_Toc25333_WPSOffice_Level2"/>
      <w:bookmarkEnd w:id="106"/>
      <w:r>
        <w:rPr>
          <w:rFonts w:hint="eastAsia" w:ascii="楷体" w:hAnsi="楷体" w:eastAsia="楷体" w:cs="楷体"/>
          <w:b/>
          <w:sz w:val="32"/>
          <w:szCs w:val="32"/>
          <w:lang w:eastAsia="zh-CN"/>
        </w:rPr>
        <w:t>（二）</w:t>
      </w:r>
      <w:r>
        <w:rPr>
          <w:rFonts w:hint="eastAsia" w:ascii="楷体" w:hAnsi="楷体" w:eastAsia="楷体" w:cs="楷体"/>
          <w:b/>
          <w:sz w:val="32"/>
          <w:szCs w:val="32"/>
        </w:rPr>
        <w:t>政府采购支出情况。</w:t>
      </w:r>
    </w:p>
    <w:p>
      <w:pPr>
        <w:ind w:firstLine="640" w:firstLineChars="200"/>
        <w:rPr>
          <w:rFonts w:hint="eastAsia" w:ascii="仿宋_GB2312" w:hAnsi="ˎ̥" w:eastAsia="仿宋_GB2312"/>
          <w:sz w:val="32"/>
          <w:szCs w:val="32"/>
          <w:highlight w:val="yellow"/>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年度三亚市天涯区抱龙幼儿园</w:t>
      </w:r>
      <w:r>
        <w:rPr>
          <w:rFonts w:hint="eastAsia" w:ascii="仿宋_GB2312" w:hAnsi="ˎ̥" w:eastAsia="仿宋_GB2312"/>
          <w:sz w:val="32"/>
          <w:szCs w:val="32"/>
        </w:rPr>
        <w:t>政府采购支出总额</w:t>
      </w:r>
      <w:r>
        <w:rPr>
          <w:rFonts w:hint="eastAsia" w:ascii="仿宋_GB2312" w:hAnsi="ˎ̥" w:eastAsia="仿宋_GB2312"/>
          <w:sz w:val="32"/>
          <w:szCs w:val="32"/>
          <w:lang w:val="en-US" w:eastAsia="zh-CN"/>
        </w:rPr>
        <w:t>0</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万元、政府采购工程支出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万元、政府采购服务支出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万元。授予中小企业合同金额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%，其中：授予小微企业合同金额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7" w:name="_Toc10902_WPSOffice_Level2"/>
      <w:bookmarkEnd w:id="107"/>
      <w:bookmarkStart w:id="108" w:name="_Toc6016_WPSOffice_Level2"/>
      <w:bookmarkEnd w:id="108"/>
      <w:bookmarkStart w:id="109" w:name="_Toc15129_WPSOffice_Level2"/>
      <w:bookmarkEnd w:id="109"/>
      <w:bookmarkStart w:id="110" w:name="_Toc29584_WPSOffice_Level2"/>
      <w:bookmarkEnd w:id="110"/>
      <w:bookmarkStart w:id="111" w:name="_Toc527_WPSOffice_Level2"/>
      <w:bookmarkEnd w:id="111"/>
      <w:bookmarkStart w:id="112" w:name="_Toc19989_WPSOffice_Level2"/>
      <w:bookmarkEnd w:id="112"/>
      <w:r>
        <w:rPr>
          <w:rFonts w:hint="eastAsia" w:ascii="楷体" w:hAnsi="楷体" w:eastAsia="楷体" w:cs="楷体"/>
          <w:b/>
          <w:sz w:val="32"/>
          <w:szCs w:val="32"/>
          <w:lang w:eastAsia="zh-CN"/>
        </w:rPr>
        <w:t>（三）</w:t>
      </w:r>
      <w:r>
        <w:rPr>
          <w:rFonts w:hint="eastAsia" w:ascii="楷体" w:hAnsi="楷体" w:eastAsia="楷体" w:cs="楷体"/>
          <w:b/>
          <w:sz w:val="32"/>
          <w:szCs w:val="32"/>
        </w:rPr>
        <w:t>国有资产占用情况。</w:t>
      </w:r>
    </w:p>
    <w:p>
      <w:pPr>
        <w:spacing w:beforeAutospacing="0" w:afterAutospacing="0"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3</w:t>
      </w:r>
      <w:r>
        <w:rPr>
          <w:rFonts w:hint="eastAsia" w:ascii="仿宋_GB2312" w:hAnsi="ˎ̥" w:eastAsia="仿宋_GB2312"/>
          <w:sz w:val="32"/>
          <w:szCs w:val="32"/>
          <w:lang w:eastAsia="zh-CN"/>
        </w:rPr>
        <w:t>年</w:t>
      </w:r>
      <w:r>
        <w:rPr>
          <w:rFonts w:hint="eastAsia" w:ascii="仿宋_GB2312" w:hAnsi="ˎ̥" w:eastAsia="仿宋_GB2312"/>
          <w:sz w:val="32"/>
          <w:szCs w:val="32"/>
        </w:rPr>
        <w:t>12月31日，</w:t>
      </w:r>
      <w:r>
        <w:rPr>
          <w:rFonts w:hint="eastAsia" w:ascii="仿宋_GB2312" w:hAnsi="ˎ̥" w:eastAsia="仿宋_GB2312"/>
          <w:sz w:val="32"/>
          <w:szCs w:val="32"/>
          <w:lang w:val="en-US" w:eastAsia="zh-CN"/>
        </w:rPr>
        <w:t>本部门占用房屋面积29.25平方米，其中：办公用房29.25平方米，业务用房0平方米，其他（不含构筑物）0平方米。</w:t>
      </w:r>
    </w:p>
    <w:p>
      <w:pPr>
        <w:spacing w:beforeAutospacing="0" w:afterAutospacing="0"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本部门共有车辆</w:t>
      </w:r>
      <w:r>
        <w:rPr>
          <w:rFonts w:hint="eastAsia" w:ascii="仿宋_GB2312" w:hAnsi="ˎ̥" w:eastAsia="仿宋_GB2312"/>
          <w:sz w:val="32"/>
          <w:szCs w:val="32"/>
          <w:lang w:val="en-US" w:eastAsia="zh-CN"/>
        </w:rPr>
        <w:t>0</w:t>
      </w:r>
      <w:r>
        <w:rPr>
          <w:rFonts w:hint="eastAsia" w:ascii="仿宋_GB2312" w:hAnsi="ˎ̥" w:eastAsia="仿宋_GB2312"/>
          <w:sz w:val="32"/>
          <w:szCs w:val="32"/>
        </w:rPr>
        <w:t>辆，其中</w:t>
      </w:r>
      <w:r>
        <w:rPr>
          <w:rFonts w:hint="eastAsia" w:ascii="仿宋_GB2312" w:hAnsi="ˎ̥" w:eastAsia="仿宋_GB2312"/>
          <w:sz w:val="32"/>
          <w:szCs w:val="32"/>
          <w:lang w:eastAsia="zh-CN"/>
        </w:rPr>
        <w:t>：从车辆种类说明：</w:t>
      </w:r>
      <w:r>
        <w:rPr>
          <w:rFonts w:hint="eastAsia" w:ascii="仿宋_GB2312" w:hAnsi="ˎ̥" w:eastAsia="仿宋_GB2312"/>
          <w:sz w:val="32"/>
          <w:szCs w:val="32"/>
          <w:lang w:val="en-US" w:eastAsia="zh-CN"/>
        </w:rPr>
        <w:t>轿车0</w:t>
      </w:r>
      <w:r>
        <w:rPr>
          <w:rFonts w:hint="eastAsia" w:ascii="仿宋_GB2312" w:hAnsi="ˎ̥" w:eastAsia="仿宋_GB2312"/>
          <w:sz w:val="32"/>
          <w:szCs w:val="32"/>
        </w:rPr>
        <w:t>辆、</w:t>
      </w:r>
      <w:r>
        <w:rPr>
          <w:rFonts w:hint="eastAsia" w:ascii="仿宋_GB2312" w:hAnsi="ˎ̥" w:eastAsia="仿宋_GB2312"/>
          <w:sz w:val="32"/>
          <w:szCs w:val="32"/>
          <w:lang w:eastAsia="zh-CN"/>
        </w:rPr>
        <w:t>越野车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小型载客汽</w:t>
      </w:r>
      <w:r>
        <w:rPr>
          <w:rFonts w:hint="eastAsia" w:ascii="仿宋_GB2312" w:hAnsi="ˎ̥" w:eastAsia="仿宋_GB2312"/>
          <w:sz w:val="32"/>
          <w:szCs w:val="32"/>
        </w:rPr>
        <w:t>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大中型载客汽车</w:t>
      </w:r>
      <w:r>
        <w:rPr>
          <w:rFonts w:hint="eastAsia" w:ascii="仿宋_GB2312" w:hAnsi="ˎ̥" w:eastAsia="仿宋_GB2312"/>
          <w:sz w:val="32"/>
          <w:szCs w:val="32"/>
        </w:rPr>
        <w:t>辆、其他</w:t>
      </w:r>
      <w:r>
        <w:rPr>
          <w:rFonts w:hint="eastAsia" w:ascii="仿宋_GB2312" w:hAnsi="ˎ̥" w:eastAsia="仿宋_GB2312"/>
          <w:sz w:val="32"/>
          <w:szCs w:val="32"/>
          <w:lang w:eastAsia="zh-CN"/>
        </w:rPr>
        <w:t>车型</w:t>
      </w:r>
      <w:r>
        <w:rPr>
          <w:rFonts w:hint="eastAsia" w:ascii="仿宋_GB2312" w:hAnsi="ˎ̥" w:eastAsia="仿宋_GB2312"/>
          <w:sz w:val="32"/>
          <w:szCs w:val="32"/>
          <w:lang w:val="en-US" w:eastAsia="zh-CN"/>
        </w:rPr>
        <w:t>0</w:t>
      </w:r>
      <w:r>
        <w:rPr>
          <w:rFonts w:hint="eastAsia" w:ascii="仿宋_GB2312" w:hAnsi="ˎ̥" w:eastAsia="仿宋_GB2312"/>
          <w:sz w:val="32"/>
          <w:szCs w:val="32"/>
        </w:rPr>
        <w:t>辆，其他</w:t>
      </w:r>
      <w:r>
        <w:rPr>
          <w:rFonts w:hint="eastAsia" w:ascii="仿宋_GB2312" w:hAnsi="ˎ̥" w:eastAsia="仿宋_GB2312"/>
          <w:sz w:val="32"/>
          <w:szCs w:val="32"/>
          <w:lang w:eastAsia="zh-CN"/>
        </w:rPr>
        <w:t>车型</w:t>
      </w:r>
      <w:r>
        <w:rPr>
          <w:rFonts w:hint="eastAsia" w:ascii="仿宋_GB2312" w:hAnsi="ˎ̥" w:eastAsia="仿宋_GB2312"/>
          <w:sz w:val="32"/>
          <w:szCs w:val="32"/>
        </w:rPr>
        <w:t>主要是……</w:t>
      </w:r>
      <w:r>
        <w:rPr>
          <w:rFonts w:hint="eastAsia" w:ascii="仿宋_GB2312" w:hAnsi="ˎ̥" w:eastAsia="仿宋_GB2312"/>
          <w:sz w:val="32"/>
          <w:szCs w:val="32"/>
          <w:lang w:eastAsia="zh-CN"/>
        </w:rPr>
        <w:t>；从车辆使用情况说明：副</w:t>
      </w:r>
      <w:r>
        <w:rPr>
          <w:rFonts w:hint="eastAsia" w:ascii="仿宋_GB2312" w:hAnsi="ˎ̥" w:eastAsia="仿宋_GB2312"/>
          <w:sz w:val="32"/>
          <w:szCs w:val="32"/>
        </w:rPr>
        <w:t>部</w:t>
      </w:r>
      <w:r>
        <w:rPr>
          <w:rFonts w:hint="eastAsia" w:ascii="仿宋_GB2312" w:hAnsi="ˎ̥" w:eastAsia="仿宋_GB2312"/>
          <w:sz w:val="32"/>
          <w:szCs w:val="32"/>
          <w:lang w:eastAsia="zh-CN"/>
        </w:rPr>
        <w:t>（省）</w:t>
      </w:r>
      <w:r>
        <w:rPr>
          <w:rFonts w:hint="eastAsia" w:ascii="仿宋_GB2312" w:hAnsi="ˎ̥" w:eastAsia="仿宋_GB2312"/>
          <w:sz w:val="32"/>
          <w:szCs w:val="32"/>
        </w:rPr>
        <w:t>级</w:t>
      </w:r>
      <w:r>
        <w:rPr>
          <w:rFonts w:hint="eastAsia" w:ascii="仿宋_GB2312" w:hAnsi="ˎ̥" w:eastAsia="仿宋_GB2312"/>
          <w:sz w:val="32"/>
          <w:szCs w:val="32"/>
          <w:lang w:eastAsia="zh-CN"/>
        </w:rPr>
        <w:t>及以上</w:t>
      </w:r>
      <w:r>
        <w:rPr>
          <w:rFonts w:hint="eastAsia" w:ascii="仿宋_GB2312" w:hAnsi="ˎ̥" w:eastAsia="仿宋_GB2312"/>
          <w:sz w:val="32"/>
          <w:szCs w:val="32"/>
        </w:rPr>
        <w:t>领导用车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主要领导干部用车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机要通信用车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应急保障用车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执法执勤</w:t>
      </w:r>
      <w:r>
        <w:rPr>
          <w:rFonts w:hint="eastAsia" w:ascii="仿宋_GB2312" w:hAnsi="ˎ̥" w:eastAsia="仿宋_GB2312"/>
          <w:sz w:val="32"/>
          <w:szCs w:val="32"/>
        </w:rPr>
        <w:t>用车</w:t>
      </w:r>
      <w:r>
        <w:rPr>
          <w:rFonts w:hint="eastAsia" w:ascii="仿宋_GB2312" w:hAnsi="ˎ̥" w:eastAsia="仿宋_GB2312"/>
          <w:sz w:val="32"/>
          <w:szCs w:val="32"/>
          <w:lang w:val="en-US" w:eastAsia="zh-CN"/>
        </w:rPr>
        <w:t>0</w:t>
      </w:r>
      <w:r>
        <w:rPr>
          <w:rFonts w:hint="eastAsia" w:ascii="仿宋_GB2312" w:hAnsi="ˎ̥" w:eastAsia="仿宋_GB2312"/>
          <w:sz w:val="32"/>
          <w:szCs w:val="32"/>
        </w:rPr>
        <w:t>辆、特种专业技术用车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离退休干部</w:t>
      </w:r>
      <w:r>
        <w:rPr>
          <w:rFonts w:hint="eastAsia" w:ascii="仿宋_GB2312" w:hAnsi="ˎ̥" w:eastAsia="仿宋_GB2312"/>
          <w:sz w:val="32"/>
          <w:szCs w:val="32"/>
        </w:rPr>
        <w:t>用车</w:t>
      </w:r>
      <w:r>
        <w:rPr>
          <w:rFonts w:hint="eastAsia" w:ascii="仿宋_GB2312" w:hAnsi="ˎ̥" w:eastAsia="仿宋_GB2312"/>
          <w:sz w:val="32"/>
          <w:szCs w:val="32"/>
          <w:lang w:val="en-US" w:eastAsia="zh-CN"/>
        </w:rPr>
        <w:t>0</w:t>
      </w:r>
      <w:r>
        <w:rPr>
          <w:rFonts w:hint="eastAsia" w:ascii="仿宋_GB2312" w:hAnsi="ˎ̥" w:eastAsia="仿宋_GB2312"/>
          <w:sz w:val="32"/>
          <w:szCs w:val="32"/>
        </w:rPr>
        <w:t>辆、其他用车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w:t>
      </w:r>
    </w:p>
    <w:p>
      <w:pPr>
        <w:spacing w:beforeAutospacing="0" w:afterAutospacing="0"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单位价值50万元</w:t>
      </w:r>
      <w:r>
        <w:rPr>
          <w:rFonts w:hint="eastAsia" w:ascii="仿宋_GB2312" w:hAnsi="ˎ̥" w:eastAsia="仿宋_GB2312"/>
          <w:sz w:val="32"/>
          <w:szCs w:val="32"/>
          <w:lang w:eastAsia="zh-CN"/>
        </w:rPr>
        <w:t>（含）</w:t>
      </w:r>
      <w:r>
        <w:rPr>
          <w:rFonts w:hint="eastAsia" w:ascii="仿宋_GB2312" w:hAnsi="ˎ̥" w:eastAsia="仿宋_GB2312"/>
          <w:sz w:val="32"/>
          <w:szCs w:val="32"/>
        </w:rPr>
        <w:t>以上通用设备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台（套），单价100万元</w:t>
      </w:r>
      <w:r>
        <w:rPr>
          <w:rFonts w:hint="eastAsia" w:ascii="仿宋_GB2312" w:hAnsi="ˎ̥" w:eastAsia="仿宋_GB2312"/>
          <w:sz w:val="32"/>
          <w:szCs w:val="32"/>
          <w:lang w:eastAsia="zh-CN"/>
        </w:rPr>
        <w:t>（含）</w:t>
      </w:r>
      <w:r>
        <w:rPr>
          <w:rFonts w:hint="eastAsia" w:ascii="仿宋_GB2312" w:hAnsi="ˎ̥" w:eastAsia="仿宋_GB2312"/>
          <w:sz w:val="32"/>
          <w:szCs w:val="32"/>
        </w:rPr>
        <w:t>以上专用设备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w:t>
      </w:r>
    </w:p>
    <w:p>
      <w:pPr>
        <w:spacing w:beforeAutospacing="0" w:afterAutospacing="0"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年末在建工程</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万元</w:t>
      </w:r>
      <w:r>
        <w:rPr>
          <w:rFonts w:hint="eastAsia" w:ascii="仿宋_GB2312" w:hAnsi="ˎ̥" w:eastAsia="仿宋_GB2312"/>
          <w:sz w:val="32"/>
          <w:szCs w:val="32"/>
        </w:rPr>
        <w:t>。</w:t>
      </w:r>
    </w:p>
    <w:p>
      <w:pPr>
        <w:spacing w:beforeAutospacing="0" w:afterAutospacing="0" w:line="578" w:lineRule="exact"/>
        <w:ind w:firstLine="640" w:firstLineChars="200"/>
        <w:rPr>
          <w:rFonts w:hint="eastAsia" w:ascii="仿宋_GB2312" w:hAnsi="ˎ̥" w:eastAsia="仿宋_GB2312"/>
          <w:sz w:val="32"/>
          <w:szCs w:val="32"/>
          <w:highlight w:val="yellow"/>
          <w:lang w:val="en-US" w:eastAsia="zh-CN"/>
        </w:rPr>
      </w:pPr>
    </w:p>
    <w:p>
      <w:pPr>
        <w:spacing w:beforeAutospacing="0" w:afterAutospacing="0" w:line="578" w:lineRule="exact"/>
        <w:ind w:firstLine="640" w:firstLineChars="200"/>
        <w:rPr>
          <w:rFonts w:hint="eastAsia" w:ascii="仿宋_GB2312" w:hAnsi="ˎ̥" w:eastAsia="仿宋_GB2312"/>
          <w:sz w:val="32"/>
          <w:szCs w:val="32"/>
          <w:lang w:val="en-US" w:eastAsia="zh-CN"/>
        </w:rPr>
      </w:pPr>
    </w:p>
    <w:p>
      <w:pPr>
        <w:jc w:val="center"/>
        <w:rPr>
          <w:rFonts w:hint="eastAsia" w:ascii="黑体" w:hAnsi="ˎ̥" w:eastAsia="黑体"/>
          <w:sz w:val="32"/>
          <w:szCs w:val="32"/>
        </w:rPr>
      </w:pPr>
      <w:bookmarkStart w:id="113" w:name="_Toc17580_WPSOffice_Level1"/>
      <w:bookmarkEnd w:id="113"/>
      <w:bookmarkStart w:id="114" w:name="_Toc4398_WPSOffice_Level1"/>
      <w:bookmarkEnd w:id="114"/>
      <w:bookmarkStart w:id="115" w:name="_Toc8808_WPSOffice_Level1"/>
      <w:bookmarkEnd w:id="115"/>
      <w:bookmarkStart w:id="116" w:name="_Toc11039_WPSOffice_Level1"/>
      <w:bookmarkEnd w:id="116"/>
      <w:bookmarkStart w:id="117" w:name="_Toc15425_WPSOffice_Level1"/>
      <w:bookmarkEnd w:id="117"/>
      <w:bookmarkStart w:id="118" w:name="_Toc8874_WPSOffice_Level1"/>
      <w:bookmarkEnd w:id="118"/>
      <w:r>
        <w:rPr>
          <w:rFonts w:hint="eastAsia" w:ascii="黑体" w:hAnsi="ˎ̥" w:eastAsia="黑体"/>
          <w:sz w:val="32"/>
          <w:szCs w:val="32"/>
          <w:lang w:eastAsia="zh-CN"/>
        </w:rPr>
        <w:t>第四部分</w:t>
      </w:r>
      <w:r>
        <w:rPr>
          <w:rFonts w:hint="eastAsia" w:ascii="黑体" w:hAnsi="ˎ̥" w:eastAsia="黑体"/>
          <w:sz w:val="32"/>
          <w:szCs w:val="32"/>
          <w:lang w:val="en-US" w:eastAsia="zh-CN"/>
        </w:rPr>
        <w:t xml:space="preserve">  </w:t>
      </w:r>
      <w:r>
        <w:rPr>
          <w:rFonts w:hint="eastAsia" w:ascii="黑体" w:hAnsi="ˎ̥" w:eastAsia="黑体"/>
          <w:sz w:val="32"/>
          <w:szCs w:val="32"/>
        </w:rPr>
        <w:t>名词解释</w:t>
      </w:r>
    </w:p>
    <w:p>
      <w:pPr>
        <w:jc w:val="center"/>
        <w:rPr>
          <w:rFonts w:hint="eastAsia" w:ascii="黑体" w:hAnsi="ˎ̥" w:eastAsia="黑体"/>
          <w:sz w:val="32"/>
          <w:szCs w:val="32"/>
        </w:rPr>
      </w:pPr>
    </w:p>
    <w:p>
      <w:pPr>
        <w:ind w:firstLine="640" w:firstLineChars="200"/>
        <w:rPr>
          <w:rFonts w:hint="eastAsia" w:ascii="仿宋_GB2312" w:hAnsi="ˎ̥" w:eastAsia="仿宋_GB2312"/>
          <w:sz w:val="32"/>
          <w:szCs w:val="32"/>
        </w:rPr>
      </w:pPr>
      <w:r>
        <w:rPr>
          <w:rFonts w:hint="eastAsia" w:ascii="仿宋_GB2312" w:hAnsi="ˎ̥" w:eastAsia="仿宋_GB2312"/>
          <w:sz w:val="32"/>
          <w:szCs w:val="32"/>
        </w:rPr>
        <w:t>一</w:t>
      </w:r>
      <w:r>
        <w:rPr>
          <w:rFonts w:hint="eastAsia" w:ascii="仿宋_GB2312" w:hAnsi="ˎ̥" w:eastAsia="仿宋_GB2312"/>
          <w:sz w:val="32"/>
          <w:szCs w:val="32"/>
          <w:lang w:eastAsia="zh-CN"/>
        </w:rPr>
        <w:t>、</w:t>
      </w:r>
      <w:r>
        <w:rPr>
          <w:rFonts w:hint="eastAsia" w:ascii="仿宋_GB2312" w:hAnsi="ˎ̥" w:eastAsia="仿宋_GB2312"/>
          <w:sz w:val="32"/>
          <w:szCs w:val="32"/>
        </w:rPr>
        <w:t>财政拨款收入：指本级财政当年拨付的资金。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二</w:t>
      </w:r>
      <w:r>
        <w:rPr>
          <w:rFonts w:hint="eastAsia" w:ascii="仿宋_GB2312" w:hAnsi="ˎ̥" w:eastAsia="仿宋_GB2312"/>
          <w:sz w:val="32"/>
          <w:szCs w:val="32"/>
          <w:lang w:eastAsia="zh-CN"/>
        </w:rPr>
        <w:t>、</w:t>
      </w:r>
      <w:r>
        <w:rPr>
          <w:rFonts w:hint="eastAsia" w:ascii="仿宋_GB2312" w:hAnsi="ˎ̥" w:eastAsia="仿宋_GB2312"/>
          <w:sz w:val="32"/>
          <w:szCs w:val="32"/>
        </w:rPr>
        <w:t>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三</w:t>
      </w:r>
      <w:r>
        <w:rPr>
          <w:rFonts w:hint="eastAsia" w:ascii="仿宋_GB2312" w:hAnsi="ˎ̥" w:eastAsia="仿宋_GB2312"/>
          <w:sz w:val="32"/>
          <w:szCs w:val="32"/>
          <w:lang w:eastAsia="zh-CN"/>
        </w:rPr>
        <w:t>、</w:t>
      </w:r>
      <w:r>
        <w:rPr>
          <w:rFonts w:hint="eastAsia" w:ascii="仿宋_GB2312" w:hAnsi="ˎ̥" w:eastAsia="仿宋_GB2312"/>
          <w:sz w:val="32"/>
          <w:szCs w:val="32"/>
        </w:rPr>
        <w:t>经营收入：指事业单位在专业业务活动及其辅助活动之外开展非独立核算经营活动取得的收入。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四</w:t>
      </w:r>
      <w:r>
        <w:rPr>
          <w:rFonts w:hint="eastAsia" w:ascii="仿宋_GB2312" w:hAnsi="ˎ̥" w:eastAsia="仿宋_GB2312"/>
          <w:sz w:val="32"/>
          <w:szCs w:val="32"/>
          <w:lang w:eastAsia="zh-CN"/>
        </w:rPr>
        <w:t>、</w:t>
      </w:r>
      <w:r>
        <w:rPr>
          <w:rFonts w:hint="eastAsia" w:ascii="仿宋_GB2312" w:hAnsi="ˎ̥" w:eastAsia="仿宋_GB2312"/>
          <w:sz w:val="32"/>
          <w:szCs w:val="32"/>
        </w:rPr>
        <w:t>其他收入：指除上述“财政拨款收入”“事业收入”“经营收入”等以外的收入。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五</w:t>
      </w:r>
      <w:r>
        <w:rPr>
          <w:rFonts w:hint="eastAsia" w:ascii="仿宋_GB2312" w:hAnsi="ˎ̥" w:eastAsia="仿宋_GB2312"/>
          <w:sz w:val="32"/>
          <w:szCs w:val="32"/>
          <w:lang w:eastAsia="zh-CN"/>
        </w:rPr>
        <w:t>、</w:t>
      </w:r>
      <w:r>
        <w:rPr>
          <w:rFonts w:hint="eastAsia" w:ascii="仿宋_GB2312" w:hAnsi="ˎ̥"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六</w:t>
      </w:r>
      <w:r>
        <w:rPr>
          <w:rFonts w:hint="eastAsia" w:ascii="仿宋_GB2312" w:hAnsi="ˎ̥" w:eastAsia="仿宋_GB2312"/>
          <w:sz w:val="32"/>
          <w:szCs w:val="32"/>
          <w:lang w:eastAsia="zh-CN"/>
        </w:rPr>
        <w:t>、</w:t>
      </w:r>
      <w:r>
        <w:rPr>
          <w:rFonts w:hint="eastAsia" w:ascii="仿宋_GB2312" w:hAnsi="ˎ̥" w:eastAsia="仿宋_GB2312"/>
          <w:sz w:val="32"/>
          <w:szCs w:val="32"/>
        </w:rPr>
        <w:t>年初结转和结余：指以前年度尚未完成、结转到本年按有关规定继续使用的资金。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七</w:t>
      </w:r>
      <w:r>
        <w:rPr>
          <w:rFonts w:hint="eastAsia" w:ascii="仿宋_GB2312" w:hAnsi="ˎ̥" w:eastAsia="仿宋_GB2312"/>
          <w:sz w:val="32"/>
          <w:szCs w:val="32"/>
          <w:lang w:eastAsia="zh-CN"/>
        </w:rPr>
        <w:t>、</w:t>
      </w:r>
      <w:r>
        <w:rPr>
          <w:rFonts w:hint="eastAsia" w:ascii="仿宋_GB2312" w:hAnsi="ˎ̥" w:eastAsia="仿宋_GB2312"/>
          <w:sz w:val="32"/>
          <w:szCs w:val="32"/>
        </w:rPr>
        <w:t>结余分配：指事业单位按规定提取的职工福利基金、事业基金和缴纳的所得税，以及建设单位按规定应交回的基本建设竣工项目结余资金。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八</w:t>
      </w:r>
      <w:r>
        <w:rPr>
          <w:rFonts w:hint="eastAsia" w:ascii="仿宋_GB2312" w:hAnsi="ˎ̥" w:eastAsia="仿宋_GB2312"/>
          <w:sz w:val="32"/>
          <w:szCs w:val="32"/>
          <w:lang w:eastAsia="zh-CN"/>
        </w:rPr>
        <w:t>、</w:t>
      </w:r>
      <w:r>
        <w:rPr>
          <w:rFonts w:hint="eastAsia" w:ascii="仿宋_GB2312" w:hAnsi="ˎ̥" w:eastAsia="仿宋_GB2312"/>
          <w:sz w:val="32"/>
          <w:szCs w:val="32"/>
        </w:rPr>
        <w:t>年末结转和结余：指本年度或以前年度预算安排、因客观条件发生变化无法按原计划实施，需要延迟到以后年度按有关规定继续使用的资金。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九</w:t>
      </w:r>
      <w:r>
        <w:rPr>
          <w:rFonts w:hint="eastAsia" w:ascii="仿宋_GB2312" w:hAnsi="ˎ̥" w:eastAsia="仿宋_GB2312"/>
          <w:sz w:val="32"/>
          <w:szCs w:val="32"/>
          <w:lang w:eastAsia="zh-CN"/>
        </w:rPr>
        <w:t>、</w:t>
      </w:r>
      <w:r>
        <w:rPr>
          <w:rFonts w:hint="eastAsia" w:ascii="仿宋_GB2312" w:hAnsi="ˎ̥" w:eastAsia="仿宋_GB2312"/>
          <w:sz w:val="32"/>
          <w:szCs w:val="32"/>
        </w:rPr>
        <w:t>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w:t>
      </w:r>
      <w:r>
        <w:rPr>
          <w:rFonts w:hint="eastAsia" w:ascii="仿宋_GB2312" w:hAnsi="ˎ̥" w:eastAsia="仿宋_GB2312"/>
          <w:sz w:val="32"/>
          <w:szCs w:val="32"/>
        </w:rPr>
        <w:t>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十一</w:t>
      </w:r>
      <w:r>
        <w:rPr>
          <w:rFonts w:hint="eastAsia" w:ascii="仿宋_GB2312" w:hAnsi="ˎ̥" w:eastAsia="仿宋_GB2312"/>
          <w:sz w:val="32"/>
          <w:szCs w:val="32"/>
          <w:lang w:eastAsia="zh-CN"/>
        </w:rPr>
        <w:t>、</w:t>
      </w:r>
      <w:r>
        <w:rPr>
          <w:rFonts w:hint="eastAsia" w:ascii="仿宋_GB2312" w:hAnsi="ˎ̥" w:eastAsia="仿宋_GB2312"/>
          <w:sz w:val="32"/>
          <w:szCs w:val="32"/>
        </w:rPr>
        <w:t>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十二</w:t>
      </w:r>
      <w:r>
        <w:rPr>
          <w:rFonts w:hint="eastAsia" w:ascii="仿宋_GB2312" w:hAnsi="ˎ̥" w:eastAsia="仿宋_GB2312"/>
          <w:sz w:val="32"/>
          <w:szCs w:val="32"/>
          <w:lang w:eastAsia="zh-CN"/>
        </w:rPr>
        <w:t>、</w:t>
      </w:r>
      <w:r>
        <w:rPr>
          <w:rFonts w:hint="eastAsia" w:ascii="仿宋_GB2312" w:hAnsi="ˎ̥" w:eastAsia="仿宋_GB2312"/>
          <w:sz w:val="32"/>
          <w:szCs w:val="32"/>
        </w:rPr>
        <w:t>“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hint="eastAsia" w:ascii="仿宋_GB2312" w:hAnsi="ˎ̥" w:eastAsia="仿宋_GB2312"/>
          <w:sz w:val="32"/>
          <w:szCs w:val="32"/>
          <w:highlight w:val="yellow"/>
        </w:rPr>
      </w:pPr>
      <w:r>
        <w:rPr>
          <w:rFonts w:hint="eastAsia" w:ascii="仿宋_GB2312" w:hAnsi="ˎ̥" w:eastAsia="仿宋_GB2312"/>
          <w:sz w:val="32"/>
          <w:szCs w:val="32"/>
        </w:rPr>
        <w:t>十三</w:t>
      </w:r>
      <w:r>
        <w:rPr>
          <w:rFonts w:hint="eastAsia" w:ascii="仿宋_GB2312" w:hAnsi="ˎ̥" w:eastAsia="仿宋_GB2312"/>
          <w:sz w:val="32"/>
          <w:szCs w:val="32"/>
          <w:lang w:val="en-US" w:eastAsia="zh-CN"/>
        </w:rPr>
        <w:t>、</w:t>
      </w:r>
      <w:r>
        <w:rPr>
          <w:rFonts w:hint="eastAsia" w:ascii="仿宋_GB2312" w:hAnsi="ˎ̥"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D0705"/>
    <w:multiLevelType w:val="singleLevel"/>
    <w:tmpl w:val="616D0705"/>
    <w:lvl w:ilvl="0" w:tentative="0">
      <w:start w:val="1"/>
      <w:numFmt w:val="chineseCounting"/>
      <w:suff w:val="nothing"/>
      <w:lvlText w:val="%1、"/>
      <w:lvlJc w:val="left"/>
    </w:lvl>
  </w:abstractNum>
  <w:abstractNum w:abstractNumId="1">
    <w:nsid w:val="616D0926"/>
    <w:multiLevelType w:val="singleLevel"/>
    <w:tmpl w:val="616D0926"/>
    <w:lvl w:ilvl="0" w:tentative="0">
      <w:start w:val="1"/>
      <w:numFmt w:val="chineseCounting"/>
      <w:suff w:val="nothing"/>
      <w:lvlText w:val="（%1）"/>
      <w:lvlJc w:val="left"/>
    </w:lvl>
  </w:abstractNum>
  <w:abstractNum w:abstractNumId="2">
    <w:nsid w:val="616D3F8B"/>
    <w:multiLevelType w:val="singleLevel"/>
    <w:tmpl w:val="616D3F8B"/>
    <w:lvl w:ilvl="0" w:tentative="0">
      <w:start w:val="1"/>
      <w:numFmt w:val="decimal"/>
      <w:suff w:val="nothing"/>
      <w:lvlText w:val="%1."/>
      <w:lvlJc w:val="left"/>
    </w:lvl>
  </w:abstractNum>
  <w:abstractNum w:abstractNumId="3">
    <w:nsid w:val="616D4618"/>
    <w:multiLevelType w:val="singleLevel"/>
    <w:tmpl w:val="616D4618"/>
    <w:lvl w:ilvl="0" w:tentative="0">
      <w:start w:val="3"/>
      <w:numFmt w:val="chineseCounting"/>
      <w:suff w:val="nothing"/>
      <w:lvlText w:val="（%1）"/>
      <w:lvlJc w:val="left"/>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ZDY4ZjlkZTUyZWEwMDNkNzE0ZDgyNWRlN2Q2MzEifQ=="/>
  </w:docVars>
  <w:rsids>
    <w:rsidRoot w:val="0AF01F6D"/>
    <w:rsid w:val="00835B58"/>
    <w:rsid w:val="00FC0687"/>
    <w:rsid w:val="016320EC"/>
    <w:rsid w:val="01EF760D"/>
    <w:rsid w:val="01F810F3"/>
    <w:rsid w:val="05AA2098"/>
    <w:rsid w:val="07E828C3"/>
    <w:rsid w:val="08F83F63"/>
    <w:rsid w:val="0A051D81"/>
    <w:rsid w:val="0A80786B"/>
    <w:rsid w:val="0AF01F6D"/>
    <w:rsid w:val="0BC961E7"/>
    <w:rsid w:val="0C646C0C"/>
    <w:rsid w:val="0C9043FB"/>
    <w:rsid w:val="0F1E7653"/>
    <w:rsid w:val="0F5312BC"/>
    <w:rsid w:val="0FE16BCA"/>
    <w:rsid w:val="1168233E"/>
    <w:rsid w:val="11742D9E"/>
    <w:rsid w:val="163149B9"/>
    <w:rsid w:val="16AA639C"/>
    <w:rsid w:val="17C27715"/>
    <w:rsid w:val="189875F3"/>
    <w:rsid w:val="19481E9C"/>
    <w:rsid w:val="1A18361C"/>
    <w:rsid w:val="1ADD2AC9"/>
    <w:rsid w:val="1B0F7033"/>
    <w:rsid w:val="1B13518C"/>
    <w:rsid w:val="1EE2069D"/>
    <w:rsid w:val="1EEC32CA"/>
    <w:rsid w:val="1F206370"/>
    <w:rsid w:val="1FAD2A59"/>
    <w:rsid w:val="205E4AE3"/>
    <w:rsid w:val="20E95D13"/>
    <w:rsid w:val="22145011"/>
    <w:rsid w:val="22690B1E"/>
    <w:rsid w:val="22D16091"/>
    <w:rsid w:val="231228C4"/>
    <w:rsid w:val="23E46C65"/>
    <w:rsid w:val="248506B9"/>
    <w:rsid w:val="24DB1E16"/>
    <w:rsid w:val="25916979"/>
    <w:rsid w:val="259660A4"/>
    <w:rsid w:val="25CE179A"/>
    <w:rsid w:val="261C0E72"/>
    <w:rsid w:val="26A56238"/>
    <w:rsid w:val="2A5E32CD"/>
    <w:rsid w:val="2B5B770D"/>
    <w:rsid w:val="2B667F60"/>
    <w:rsid w:val="2B797C93"/>
    <w:rsid w:val="2BA271EA"/>
    <w:rsid w:val="2D780265"/>
    <w:rsid w:val="2E5844D8"/>
    <w:rsid w:val="3014442E"/>
    <w:rsid w:val="32FD1EEA"/>
    <w:rsid w:val="33D20888"/>
    <w:rsid w:val="344572AC"/>
    <w:rsid w:val="34EE524E"/>
    <w:rsid w:val="351647A5"/>
    <w:rsid w:val="355841AC"/>
    <w:rsid w:val="36332C88"/>
    <w:rsid w:val="38173FAE"/>
    <w:rsid w:val="3A9556A8"/>
    <w:rsid w:val="3B707990"/>
    <w:rsid w:val="3D3B2FFA"/>
    <w:rsid w:val="3D657F81"/>
    <w:rsid w:val="3D7A7FC6"/>
    <w:rsid w:val="3DC7316D"/>
    <w:rsid w:val="3DE03BA2"/>
    <w:rsid w:val="3E6F10B7"/>
    <w:rsid w:val="3EC53E1D"/>
    <w:rsid w:val="3F4C5993"/>
    <w:rsid w:val="3F7F4D9C"/>
    <w:rsid w:val="405D597D"/>
    <w:rsid w:val="40F167F2"/>
    <w:rsid w:val="40F55BB6"/>
    <w:rsid w:val="41161F5B"/>
    <w:rsid w:val="420F4A55"/>
    <w:rsid w:val="42AA56C1"/>
    <w:rsid w:val="436142E9"/>
    <w:rsid w:val="453F180E"/>
    <w:rsid w:val="459C7A87"/>
    <w:rsid w:val="46335E62"/>
    <w:rsid w:val="469F1BDA"/>
    <w:rsid w:val="47370CD6"/>
    <w:rsid w:val="47DD3634"/>
    <w:rsid w:val="48BC29F8"/>
    <w:rsid w:val="49245028"/>
    <w:rsid w:val="49BE47A9"/>
    <w:rsid w:val="4A653DAC"/>
    <w:rsid w:val="4A851D59"/>
    <w:rsid w:val="4B6422B6"/>
    <w:rsid w:val="4C251A45"/>
    <w:rsid w:val="4D752558"/>
    <w:rsid w:val="4DA56ED0"/>
    <w:rsid w:val="4E5B174E"/>
    <w:rsid w:val="4EF82A75"/>
    <w:rsid w:val="5004046D"/>
    <w:rsid w:val="50245B70"/>
    <w:rsid w:val="50D56F5C"/>
    <w:rsid w:val="52AD78A7"/>
    <w:rsid w:val="53A45945"/>
    <w:rsid w:val="53DA1367"/>
    <w:rsid w:val="54D97871"/>
    <w:rsid w:val="57FB0ED4"/>
    <w:rsid w:val="580B5574"/>
    <w:rsid w:val="5999312B"/>
    <w:rsid w:val="5A3E3CD2"/>
    <w:rsid w:val="5AE77B82"/>
    <w:rsid w:val="5BCF552A"/>
    <w:rsid w:val="5BF705DC"/>
    <w:rsid w:val="5C182C62"/>
    <w:rsid w:val="5C1D5966"/>
    <w:rsid w:val="5CA02A22"/>
    <w:rsid w:val="5DFD637E"/>
    <w:rsid w:val="5ED77D30"/>
    <w:rsid w:val="5F090D52"/>
    <w:rsid w:val="5F481A9B"/>
    <w:rsid w:val="61C00863"/>
    <w:rsid w:val="630E06E5"/>
    <w:rsid w:val="6367782F"/>
    <w:rsid w:val="63957059"/>
    <w:rsid w:val="640D6BEF"/>
    <w:rsid w:val="656C5B97"/>
    <w:rsid w:val="658B569B"/>
    <w:rsid w:val="65C479DC"/>
    <w:rsid w:val="69D06CBA"/>
    <w:rsid w:val="69EF08F0"/>
    <w:rsid w:val="6AE508C6"/>
    <w:rsid w:val="6B142F59"/>
    <w:rsid w:val="6C0528A2"/>
    <w:rsid w:val="6CD439EE"/>
    <w:rsid w:val="6D266F73"/>
    <w:rsid w:val="6D532021"/>
    <w:rsid w:val="6DB57B3C"/>
    <w:rsid w:val="6DDE1EA5"/>
    <w:rsid w:val="6EE13152"/>
    <w:rsid w:val="70085806"/>
    <w:rsid w:val="70B7060E"/>
    <w:rsid w:val="70D227C4"/>
    <w:rsid w:val="70D50A94"/>
    <w:rsid w:val="71CA4C09"/>
    <w:rsid w:val="72185261"/>
    <w:rsid w:val="7292250D"/>
    <w:rsid w:val="73357F10"/>
    <w:rsid w:val="73EF6311"/>
    <w:rsid w:val="756D3991"/>
    <w:rsid w:val="76FA1624"/>
    <w:rsid w:val="77DA0472"/>
    <w:rsid w:val="7855070D"/>
    <w:rsid w:val="78882890"/>
    <w:rsid w:val="7A4012AE"/>
    <w:rsid w:val="7C635AEE"/>
    <w:rsid w:val="7CD026AD"/>
    <w:rsid w:val="7DCE1269"/>
    <w:rsid w:val="7F111831"/>
    <w:rsid w:val="7F8D303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link w:val="5"/>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1 Char Char Char"/>
    <w:basedOn w:val="1"/>
    <w:link w:val="4"/>
    <w:autoRedefine/>
    <w:qFormat/>
    <w:uiPriority w:val="0"/>
    <w:pPr>
      <w:spacing w:beforeAutospacing="0" w:afterAutospacing="0" w:line="360" w:lineRule="auto"/>
      <w:ind w:firstLine="200" w:firstLineChars="200"/>
    </w:pPr>
  </w:style>
  <w:style w:type="character" w:styleId="6">
    <w:name w:val="page number"/>
    <w:basedOn w:val="4"/>
    <w:qFormat/>
    <w:uiPriority w:val="0"/>
  </w:style>
  <w:style w:type="paragraph" w:customStyle="1" w:styleId="7">
    <w:name w:val="WPSOffice手动目录 1"/>
    <w:autoRedefine/>
    <w:qFormat/>
    <w:uiPriority w:val="0"/>
    <w:pPr>
      <w:ind w:leftChars="0"/>
    </w:pPr>
    <w:rPr>
      <w:rFonts w:ascii="Times New Roman" w:hAnsi="Times New Roman" w:eastAsia="宋体" w:cs="Times New Roman"/>
      <w:sz w:val="20"/>
      <w:szCs w:val="20"/>
    </w:rPr>
  </w:style>
  <w:style w:type="paragraph" w:customStyle="1" w:styleId="8">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5576</Words>
  <Characters>5979</Characters>
  <Lines>0</Lines>
  <Paragraphs>0</Paragraphs>
  <TotalTime>187</TotalTime>
  <ScaleCrop>false</ScaleCrop>
  <LinksUpToDate>false</LinksUpToDate>
  <CharactersWithSpaces>6096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2021-10-16T14:36:00Z</dcterms:created>
  <dc:creator>LENOVO</dc:creator>
  <cp:lastModifiedBy>Administrator</cp:lastModifiedBy>
  <dcterms:modified xsi:type="dcterms:W3CDTF">2024-10-09T08:40:57Z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9B2A62A8DF664D58940B7E3375DEDD16</vt:lpwstr>
  </property>
</Properties>
</file>