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78" w:lineRule="exact"/>
        <w:jc w:val="center"/>
        <w:rPr>
          <w:rFonts w:hint="default" w:ascii="Times New Roman" w:hAnsi="Times New Roman" w:eastAsia="方正小标宋简体" w:cs="Times New Roman"/>
          <w:snapToGrid w:val="0"/>
          <w:kern w:val="0"/>
          <w:sz w:val="44"/>
          <w:szCs w:val="44"/>
        </w:rPr>
      </w:pPr>
      <w:r>
        <w:rPr>
          <w:rFonts w:hint="default" w:ascii="Times New Roman" w:hAnsi="Times New Roman" w:eastAsia="方正小标宋简体" w:cs="Times New Roman"/>
          <w:snapToGrid w:val="0"/>
          <w:kern w:val="0"/>
          <w:sz w:val="44"/>
          <w:szCs w:val="44"/>
        </w:rPr>
        <w:t>三亚市天涯区202</w:t>
      </w:r>
      <w:r>
        <w:rPr>
          <w:rFonts w:hint="default" w:ascii="Times New Roman" w:hAnsi="Times New Roman" w:eastAsia="方正小标宋简体" w:cs="Times New Roman"/>
          <w:snapToGrid w:val="0"/>
          <w:kern w:val="0"/>
          <w:sz w:val="44"/>
          <w:szCs w:val="44"/>
          <w:lang w:val="en-US" w:eastAsia="zh-CN"/>
        </w:rPr>
        <w:t>3</w:t>
      </w:r>
      <w:r>
        <w:rPr>
          <w:rFonts w:hint="default" w:ascii="Times New Roman" w:hAnsi="Times New Roman" w:eastAsia="方正小标宋简体" w:cs="Times New Roman"/>
          <w:snapToGrid w:val="0"/>
          <w:kern w:val="0"/>
          <w:sz w:val="44"/>
          <w:szCs w:val="44"/>
        </w:rPr>
        <w:t>年</w:t>
      </w:r>
      <w:r>
        <w:rPr>
          <w:rFonts w:hint="default" w:ascii="Times New Roman" w:hAnsi="Times New Roman" w:eastAsia="方正小标宋简体" w:cs="Times New Roman"/>
          <w:snapToGrid w:val="0"/>
          <w:kern w:val="0"/>
          <w:sz w:val="44"/>
          <w:szCs w:val="44"/>
          <w:lang w:eastAsia="zh-CN"/>
        </w:rPr>
        <w:t>第二批</w:t>
      </w:r>
      <w:r>
        <w:rPr>
          <w:rFonts w:hint="eastAsia" w:eastAsia="方正小标宋简体" w:cs="Times New Roman"/>
          <w:snapToGrid w:val="0"/>
          <w:kern w:val="0"/>
          <w:sz w:val="44"/>
          <w:szCs w:val="44"/>
          <w:lang w:eastAsia="zh-CN"/>
        </w:rPr>
        <w:t>省级</w:t>
      </w:r>
      <w:r>
        <w:rPr>
          <w:rFonts w:hint="default" w:ascii="Times New Roman" w:hAnsi="Times New Roman" w:eastAsia="方正小标宋简体" w:cs="Times New Roman"/>
          <w:snapToGrid w:val="0"/>
          <w:kern w:val="0"/>
          <w:sz w:val="44"/>
          <w:szCs w:val="44"/>
        </w:rPr>
        <w:t>财政</w:t>
      </w:r>
    </w:p>
    <w:p>
      <w:pPr>
        <w:spacing w:line="578" w:lineRule="exact"/>
        <w:jc w:val="center"/>
        <w:rPr>
          <w:rFonts w:hint="default" w:ascii="Times New Roman" w:hAnsi="Times New Roman" w:eastAsia="方正小标宋简体" w:cs="Times New Roman"/>
          <w:snapToGrid w:val="0"/>
          <w:kern w:val="0"/>
          <w:sz w:val="44"/>
          <w:szCs w:val="44"/>
          <w:lang w:eastAsia="zh-CN"/>
        </w:rPr>
      </w:pPr>
      <w:r>
        <w:rPr>
          <w:rFonts w:hint="default" w:ascii="Times New Roman" w:hAnsi="Times New Roman" w:eastAsia="方正小标宋简体" w:cs="Times New Roman"/>
          <w:snapToGrid w:val="0"/>
          <w:kern w:val="0"/>
          <w:sz w:val="44"/>
          <w:szCs w:val="44"/>
        </w:rPr>
        <w:t>衔接资金安排</w:t>
      </w:r>
      <w:r>
        <w:rPr>
          <w:rFonts w:hint="default" w:ascii="Times New Roman" w:hAnsi="Times New Roman" w:eastAsia="方正小标宋简体" w:cs="Times New Roman"/>
          <w:snapToGrid w:val="0"/>
          <w:kern w:val="0"/>
          <w:sz w:val="44"/>
          <w:szCs w:val="44"/>
          <w:lang w:eastAsia="zh-CN"/>
        </w:rPr>
        <w:t>及提前批</w:t>
      </w:r>
      <w:r>
        <w:rPr>
          <w:rFonts w:hint="eastAsia" w:eastAsia="方正小标宋简体" w:cs="Times New Roman"/>
          <w:snapToGrid w:val="0"/>
          <w:kern w:val="0"/>
          <w:sz w:val="44"/>
          <w:szCs w:val="44"/>
          <w:lang w:eastAsia="zh-CN"/>
        </w:rPr>
        <w:t>中央</w:t>
      </w:r>
      <w:r>
        <w:rPr>
          <w:rFonts w:hint="default" w:ascii="Times New Roman" w:hAnsi="Times New Roman" w:eastAsia="方正小标宋简体" w:cs="Times New Roman"/>
          <w:snapToGrid w:val="0"/>
          <w:kern w:val="0"/>
          <w:sz w:val="44"/>
          <w:szCs w:val="44"/>
          <w:lang w:eastAsia="zh-CN"/>
        </w:rPr>
        <w:t>和</w:t>
      </w:r>
    </w:p>
    <w:p>
      <w:pPr>
        <w:spacing w:line="578" w:lineRule="exact"/>
        <w:jc w:val="center"/>
        <w:rPr>
          <w:rFonts w:hint="default" w:ascii="Times New Roman" w:hAnsi="Times New Roman" w:eastAsia="方正小标宋简体" w:cs="Times New Roman"/>
          <w:snapToGrid w:val="0"/>
          <w:kern w:val="0"/>
          <w:sz w:val="44"/>
          <w:szCs w:val="44"/>
          <w:lang w:eastAsia="zh-CN"/>
        </w:rPr>
      </w:pPr>
      <w:r>
        <w:rPr>
          <w:rFonts w:hint="default" w:ascii="Times New Roman" w:hAnsi="Times New Roman" w:eastAsia="方正小标宋简体" w:cs="Times New Roman"/>
          <w:snapToGrid w:val="0"/>
          <w:kern w:val="0"/>
          <w:sz w:val="44"/>
          <w:szCs w:val="44"/>
          <w:lang w:eastAsia="zh-CN"/>
        </w:rPr>
        <w:t>市级财政衔接资金调整</w:t>
      </w:r>
      <w:r>
        <w:rPr>
          <w:rFonts w:hint="default" w:ascii="Times New Roman" w:hAnsi="Times New Roman" w:eastAsia="方正小标宋简体" w:cs="Times New Roman"/>
          <w:snapToGrid w:val="0"/>
          <w:kern w:val="0"/>
          <w:sz w:val="44"/>
          <w:szCs w:val="44"/>
        </w:rPr>
        <w:t>方案</w:t>
      </w:r>
    </w:p>
    <w:p>
      <w:pPr>
        <w:spacing w:line="578" w:lineRule="exact"/>
        <w:ind w:firstLine="640"/>
        <w:rPr>
          <w:rFonts w:hint="default" w:ascii="Times New Roman" w:hAnsi="Times New Roman" w:eastAsia="方正小标宋简体" w:cs="Times New Roman"/>
          <w:snapToGrid w:val="0"/>
          <w:kern w:val="0"/>
          <w:sz w:val="32"/>
          <w:szCs w:val="32"/>
          <w:lang w:val="en-US" w:eastAsia="zh-CN" w:bidi="ar-SA"/>
        </w:rPr>
      </w:pPr>
      <w:r>
        <w:rPr>
          <w:rFonts w:hint="default" w:ascii="Times New Roman" w:hAnsi="Times New Roman" w:eastAsia="方正小标宋简体" w:cs="Times New Roman"/>
          <w:snapToGrid w:val="0"/>
          <w:kern w:val="0"/>
          <w:sz w:val="32"/>
          <w:szCs w:val="32"/>
          <w:lang w:val="en-US" w:eastAsia="zh-CN" w:bidi="ar-SA"/>
        </w:rPr>
        <w:t xml:space="preserve"> </w:t>
      </w:r>
    </w:p>
    <w:p>
      <w:pPr>
        <w:spacing w:line="578"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napToGrid w:val="0"/>
          <w:kern w:val="0"/>
          <w:sz w:val="32"/>
          <w:szCs w:val="32"/>
        </w:rPr>
        <w:t>为了进一步巩固拓展脱贫攻坚成果，持续推动脱贫地区发展和乡村全面振兴，</w:t>
      </w:r>
      <w:r>
        <w:rPr>
          <w:rFonts w:hint="default" w:ascii="Times New Roman" w:hAnsi="Times New Roman" w:eastAsia="仿宋_GB2312" w:cs="Times New Roman"/>
          <w:snapToGrid w:val="0"/>
          <w:kern w:val="0"/>
          <w:sz w:val="32"/>
          <w:szCs w:val="32"/>
          <w:lang w:eastAsia="zh-CN"/>
        </w:rPr>
        <w:t>坚持围绕农业产业项目，补齐农村小型公益基础设施类短板，</w:t>
      </w:r>
      <w:r>
        <w:rPr>
          <w:rFonts w:hint="default" w:ascii="Times New Roman" w:hAnsi="Times New Roman" w:eastAsia="仿宋_GB2312" w:cs="Times New Roman"/>
          <w:snapToGrid w:val="0"/>
          <w:kern w:val="0"/>
          <w:sz w:val="32"/>
          <w:szCs w:val="32"/>
          <w:lang w:val="en-US" w:eastAsia="zh-CN"/>
        </w:rPr>
        <w:t>做好2023年衔接推进乡村振兴补助资金分配使用，</w:t>
      </w:r>
      <w:r>
        <w:rPr>
          <w:rFonts w:hint="default" w:ascii="Times New Roman" w:hAnsi="Times New Roman" w:eastAsia="仿宋_GB2312" w:cs="Times New Roman"/>
          <w:snapToGrid w:val="0"/>
          <w:kern w:val="0"/>
          <w:sz w:val="32"/>
          <w:szCs w:val="32"/>
        </w:rPr>
        <w:t>根据财政衔接推进乡村振兴补助资金管理办法有关规定，</w:t>
      </w:r>
      <w:r>
        <w:rPr>
          <w:rFonts w:hint="default" w:ascii="Times New Roman" w:hAnsi="Times New Roman" w:eastAsia="仿宋_GB2312" w:cs="Times New Roman"/>
          <w:sz w:val="32"/>
          <w:szCs w:val="32"/>
        </w:rPr>
        <w:t>结合我区实际，制定资金安排如下：</w:t>
      </w:r>
    </w:p>
    <w:p>
      <w:pPr>
        <w:spacing w:line="578" w:lineRule="exact"/>
        <w:ind w:firstLine="640"/>
        <w:rPr>
          <w:rFonts w:hint="default" w:ascii="Times New Roman" w:hAnsi="Times New Roman" w:eastAsia="黑体" w:cs="Times New Roman"/>
          <w:sz w:val="32"/>
          <w:szCs w:val="32"/>
          <w:lang w:val="zh-TW" w:eastAsia="zh-TW"/>
        </w:rPr>
      </w:pPr>
      <w:r>
        <w:rPr>
          <w:rFonts w:hint="default" w:ascii="Times New Roman" w:hAnsi="Times New Roman" w:eastAsia="黑体" w:cs="Times New Roman"/>
          <w:sz w:val="32"/>
          <w:szCs w:val="32"/>
          <w:lang w:val="zh-TW" w:eastAsia="zh-CN"/>
        </w:rPr>
        <w:t>一</w:t>
      </w:r>
      <w:r>
        <w:rPr>
          <w:rFonts w:hint="default" w:ascii="Times New Roman" w:hAnsi="Times New Roman" w:eastAsia="黑体" w:cs="Times New Roman"/>
          <w:sz w:val="32"/>
          <w:szCs w:val="32"/>
          <w:lang w:val="zh-TW" w:eastAsia="zh-TW"/>
        </w:rPr>
        <w:t>、</w:t>
      </w:r>
      <w:r>
        <w:rPr>
          <w:rFonts w:hint="default" w:ascii="Times New Roman" w:hAnsi="Times New Roman" w:eastAsia="黑体" w:cs="Times New Roman"/>
          <w:sz w:val="32"/>
          <w:szCs w:val="32"/>
          <w:lang w:val="zh-TW"/>
        </w:rPr>
        <w:t>资金使用</w:t>
      </w:r>
      <w:r>
        <w:rPr>
          <w:rFonts w:hint="default" w:ascii="Times New Roman" w:hAnsi="Times New Roman" w:eastAsia="黑体" w:cs="Times New Roman"/>
          <w:sz w:val="32"/>
          <w:szCs w:val="32"/>
        </w:rPr>
        <w:t>原则和方向</w:t>
      </w:r>
    </w:p>
    <w:p>
      <w:pPr>
        <w:spacing w:line="578" w:lineRule="exact"/>
        <w:ind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sz w:val="32"/>
          <w:szCs w:val="32"/>
        </w:rPr>
        <w:t>坚持依法依规原则，</w:t>
      </w:r>
      <w:r>
        <w:rPr>
          <w:rFonts w:hint="default" w:ascii="Times New Roman" w:hAnsi="Times New Roman" w:eastAsia="仿宋_GB2312" w:cs="Times New Roman"/>
          <w:snapToGrid w:val="0"/>
          <w:kern w:val="0"/>
          <w:sz w:val="32"/>
          <w:szCs w:val="32"/>
          <w:lang w:val="en-US" w:eastAsia="zh-CN"/>
        </w:rPr>
        <w:t>严格按照</w:t>
      </w:r>
      <w:r>
        <w:rPr>
          <w:rFonts w:hint="default" w:ascii="Times New Roman" w:hAnsi="Times New Roman" w:eastAsia="仿宋_GB2312" w:cs="Times New Roman"/>
          <w:snapToGrid w:val="0"/>
          <w:kern w:val="0"/>
          <w:sz w:val="32"/>
          <w:szCs w:val="32"/>
        </w:rPr>
        <w:t>《海南省财政衔接推进乡村振兴补助资金管理办法》</w:t>
      </w:r>
      <w:r>
        <w:rPr>
          <w:rFonts w:hint="default" w:ascii="Times New Roman" w:hAnsi="Times New Roman" w:eastAsia="仿宋_GB2312" w:cs="Times New Roman"/>
          <w:snapToGrid w:val="0"/>
          <w:kern w:val="0"/>
          <w:sz w:val="32"/>
          <w:szCs w:val="32"/>
          <w:lang w:eastAsia="zh-CN"/>
        </w:rPr>
        <w:t>（</w:t>
      </w:r>
      <w:r>
        <w:rPr>
          <w:rFonts w:hint="default" w:ascii="Times New Roman" w:hAnsi="Times New Roman" w:eastAsia="仿宋_GB2312" w:cs="Times New Roman"/>
          <w:snapToGrid w:val="0"/>
          <w:kern w:val="0"/>
          <w:sz w:val="32"/>
          <w:szCs w:val="32"/>
          <w:lang w:val="en-US" w:eastAsia="zh-CN"/>
        </w:rPr>
        <w:t>琼财农规</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21</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10号</w:t>
      </w:r>
      <w:r>
        <w:rPr>
          <w:rFonts w:hint="default" w:ascii="Times New Roman" w:hAnsi="Times New Roman" w:eastAsia="仿宋_GB2312" w:cs="Times New Roman"/>
          <w:snapToGrid w:val="0"/>
          <w:kern w:val="0"/>
          <w:sz w:val="32"/>
          <w:szCs w:val="32"/>
          <w:lang w:eastAsia="zh-CN"/>
        </w:rPr>
        <w:t>）</w:t>
      </w:r>
      <w:r>
        <w:rPr>
          <w:rFonts w:hint="default" w:ascii="Times New Roman" w:hAnsi="Times New Roman" w:eastAsia="仿宋_GB2312" w:cs="Times New Roman"/>
          <w:snapToGrid w:val="0"/>
          <w:color w:val="000000"/>
          <w:kern w:val="0"/>
          <w:sz w:val="32"/>
          <w:szCs w:val="32"/>
        </w:rPr>
        <w:t>、</w:t>
      </w:r>
      <w:r>
        <w:rPr>
          <w:rFonts w:hint="default" w:ascii="Times New Roman" w:hAnsi="Times New Roman" w:eastAsia="仿宋_GB2312" w:cs="Times New Roman"/>
          <w:snapToGrid w:val="0"/>
          <w:color w:val="000000"/>
          <w:kern w:val="0"/>
          <w:sz w:val="32"/>
          <w:szCs w:val="32"/>
          <w:lang w:eastAsia="zh-CN"/>
        </w:rPr>
        <w:t>《</w:t>
      </w:r>
      <w:r>
        <w:rPr>
          <w:rFonts w:hint="default" w:ascii="Times New Roman" w:hAnsi="Times New Roman" w:eastAsia="仿宋_GB2312" w:cs="Times New Roman"/>
          <w:snapToGrid w:val="0"/>
          <w:color w:val="000000"/>
          <w:kern w:val="0"/>
          <w:sz w:val="32"/>
          <w:szCs w:val="32"/>
          <w:lang w:val="en-US" w:eastAsia="zh-CN"/>
        </w:rPr>
        <w:t>关于加强衔接推进乡村振兴补助资金使用管理的实施意见</w:t>
      </w:r>
      <w:r>
        <w:rPr>
          <w:rFonts w:hint="default" w:ascii="Times New Roman" w:hAnsi="Times New Roman" w:eastAsia="仿宋_GB2312" w:cs="Times New Roman"/>
          <w:snapToGrid w:val="0"/>
          <w:color w:val="000000"/>
          <w:kern w:val="0"/>
          <w:sz w:val="32"/>
          <w:szCs w:val="32"/>
          <w:lang w:eastAsia="zh-CN"/>
        </w:rPr>
        <w:t>》（</w:t>
      </w:r>
      <w:r>
        <w:rPr>
          <w:rFonts w:hint="default" w:ascii="Times New Roman" w:hAnsi="Times New Roman" w:eastAsia="仿宋_GB2312" w:cs="Times New Roman"/>
          <w:snapToGrid w:val="0"/>
          <w:color w:val="000000"/>
          <w:kern w:val="0"/>
          <w:sz w:val="32"/>
          <w:szCs w:val="32"/>
          <w:lang w:val="en-US" w:eastAsia="zh-CN"/>
        </w:rPr>
        <w:t>琼财农</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370号</w:t>
      </w:r>
      <w:r>
        <w:rPr>
          <w:rFonts w:hint="default" w:ascii="Times New Roman" w:hAnsi="Times New Roman" w:eastAsia="仿宋_GB2312" w:cs="Times New Roman"/>
          <w:snapToGrid w:val="0"/>
          <w:color w:val="000000"/>
          <w:kern w:val="0"/>
          <w:sz w:val="32"/>
          <w:szCs w:val="32"/>
          <w:lang w:eastAsia="zh-CN"/>
        </w:rPr>
        <w:t>）、</w:t>
      </w:r>
      <w:r>
        <w:rPr>
          <w:rFonts w:hint="default" w:ascii="Times New Roman" w:hAnsi="Times New Roman" w:eastAsia="仿宋_GB2312" w:cs="Times New Roman"/>
          <w:snapToGrid w:val="0"/>
          <w:kern w:val="0"/>
          <w:sz w:val="32"/>
          <w:szCs w:val="32"/>
        </w:rPr>
        <w:t>《三亚市财政衔接推进乡村振兴补助资金管理办法》</w:t>
      </w:r>
      <w:r>
        <w:rPr>
          <w:rFonts w:hint="default" w:ascii="Times New Roman" w:hAnsi="Times New Roman" w:eastAsia="仿宋_GB2312" w:cs="Times New Roman"/>
          <w:snapToGrid w:val="0"/>
          <w:kern w:val="0"/>
          <w:sz w:val="32"/>
          <w:szCs w:val="32"/>
          <w:lang w:eastAsia="zh-CN"/>
        </w:rPr>
        <w:t>（</w:t>
      </w:r>
      <w:r>
        <w:rPr>
          <w:rFonts w:hint="default" w:ascii="Times New Roman" w:hAnsi="Times New Roman" w:eastAsia="仿宋_GB2312" w:cs="Times New Roman"/>
          <w:snapToGrid w:val="0"/>
          <w:kern w:val="0"/>
          <w:sz w:val="32"/>
          <w:szCs w:val="32"/>
          <w:lang w:val="en-US" w:eastAsia="zh-CN"/>
        </w:rPr>
        <w:t>三财</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21</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1131号</w:t>
      </w:r>
      <w:r>
        <w:rPr>
          <w:rFonts w:hint="default" w:ascii="Times New Roman" w:hAnsi="Times New Roman" w:eastAsia="仿宋_GB2312" w:cs="Times New Roman"/>
          <w:snapToGrid w:val="0"/>
          <w:kern w:val="0"/>
          <w:sz w:val="32"/>
          <w:szCs w:val="32"/>
          <w:lang w:eastAsia="zh-CN"/>
        </w:rPr>
        <w:t>）、《</w:t>
      </w:r>
      <w:r>
        <w:rPr>
          <w:rFonts w:hint="default" w:ascii="Times New Roman" w:hAnsi="Times New Roman" w:eastAsia="仿宋_GB2312" w:cs="Times New Roman"/>
          <w:snapToGrid w:val="0"/>
          <w:kern w:val="0"/>
          <w:sz w:val="32"/>
          <w:szCs w:val="32"/>
          <w:lang w:val="en-US" w:eastAsia="zh-CN"/>
        </w:rPr>
        <w:t>三亚市加强衔接推进乡村振兴补助资金使用管理的实施意见</w:t>
      </w:r>
      <w:r>
        <w:rPr>
          <w:rFonts w:hint="default" w:ascii="Times New Roman" w:hAnsi="Times New Roman" w:eastAsia="仿宋_GB2312" w:cs="Times New Roman"/>
          <w:snapToGrid w:val="0"/>
          <w:kern w:val="0"/>
          <w:sz w:val="32"/>
          <w:szCs w:val="32"/>
          <w:lang w:eastAsia="zh-CN"/>
        </w:rPr>
        <w:t>》（</w:t>
      </w:r>
      <w:r>
        <w:rPr>
          <w:rFonts w:hint="default" w:ascii="Times New Roman" w:hAnsi="Times New Roman" w:eastAsia="仿宋_GB2312" w:cs="Times New Roman"/>
          <w:snapToGrid w:val="0"/>
          <w:kern w:val="0"/>
          <w:sz w:val="32"/>
          <w:szCs w:val="32"/>
          <w:lang w:val="en-US" w:eastAsia="zh-CN"/>
        </w:rPr>
        <w:t>三财</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543号</w:t>
      </w:r>
      <w:r>
        <w:rPr>
          <w:rFonts w:hint="default" w:ascii="Times New Roman" w:hAnsi="Times New Roman" w:eastAsia="仿宋_GB2312" w:cs="Times New Roman"/>
          <w:snapToGrid w:val="0"/>
          <w:kern w:val="0"/>
          <w:sz w:val="32"/>
          <w:szCs w:val="32"/>
          <w:lang w:eastAsia="zh-CN"/>
        </w:rPr>
        <w:t>）</w:t>
      </w:r>
      <w:r>
        <w:rPr>
          <w:rFonts w:hint="default" w:ascii="Times New Roman" w:hAnsi="Times New Roman" w:eastAsia="仿宋_GB2312" w:cs="Times New Roman"/>
          <w:snapToGrid w:val="0"/>
          <w:kern w:val="0"/>
          <w:sz w:val="32"/>
          <w:szCs w:val="32"/>
          <w:lang w:val="en-US" w:eastAsia="zh-CN"/>
        </w:rPr>
        <w:t>等有关文件要求</w:t>
      </w:r>
      <w:r>
        <w:rPr>
          <w:rFonts w:hint="default" w:ascii="Times New Roman" w:hAnsi="Times New Roman" w:eastAsia="仿宋_GB2312" w:cs="Times New Roman"/>
          <w:snapToGrid w:val="0"/>
          <w:kern w:val="0"/>
          <w:sz w:val="32"/>
          <w:szCs w:val="32"/>
        </w:rPr>
        <w:t>，</w:t>
      </w:r>
      <w:r>
        <w:rPr>
          <w:rFonts w:hint="default" w:ascii="Times New Roman" w:hAnsi="Times New Roman" w:eastAsia="仿宋_GB2312" w:cs="Times New Roman"/>
          <w:sz w:val="32"/>
          <w:szCs w:val="32"/>
          <w:lang w:val="zh-TW"/>
        </w:rPr>
        <w:t>资金重点</w:t>
      </w:r>
      <w:r>
        <w:rPr>
          <w:rFonts w:hint="default" w:ascii="Times New Roman" w:hAnsi="Times New Roman" w:eastAsia="仿宋_GB2312" w:cs="Times New Roman"/>
          <w:sz w:val="32"/>
          <w:szCs w:val="32"/>
        </w:rPr>
        <w:t>支持巩固拓展脱贫</w:t>
      </w:r>
      <w:r>
        <w:rPr>
          <w:rFonts w:hint="default" w:ascii="Times New Roman" w:hAnsi="Times New Roman" w:eastAsia="仿宋_GB2312" w:cs="Times New Roman"/>
          <w:sz w:val="32"/>
          <w:szCs w:val="32"/>
          <w:lang w:eastAsia="zh-CN"/>
        </w:rPr>
        <w:t>攻坚</w:t>
      </w:r>
      <w:r>
        <w:rPr>
          <w:rFonts w:hint="default" w:ascii="Times New Roman" w:hAnsi="Times New Roman" w:eastAsia="仿宋_GB2312" w:cs="Times New Roman"/>
          <w:sz w:val="32"/>
          <w:szCs w:val="32"/>
        </w:rPr>
        <w:t>成果，积极衔接推进乡村产业振兴。衔接资金不得用于与巩固拓展脱贫攻坚成果和推进乡村振兴无关的支出，包括没有绩效目标或绩效目标不明确的项目。</w:t>
      </w:r>
    </w:p>
    <w:p>
      <w:pPr>
        <w:spacing w:line="578" w:lineRule="exact"/>
        <w:ind w:firstLine="640"/>
        <w:rPr>
          <w:rFonts w:hint="default" w:ascii="Times New Roman" w:hAnsi="Times New Roman" w:eastAsia="黑体" w:cs="Times New Roman"/>
          <w:sz w:val="32"/>
          <w:szCs w:val="32"/>
          <w:lang w:val="zh-TW" w:eastAsia="zh-CN"/>
        </w:rPr>
      </w:pPr>
      <w:r>
        <w:rPr>
          <w:rFonts w:hint="default" w:ascii="Times New Roman" w:hAnsi="Times New Roman" w:eastAsia="黑体" w:cs="Times New Roman"/>
          <w:sz w:val="32"/>
          <w:szCs w:val="32"/>
          <w:lang w:val="zh-TW" w:eastAsia="zh-CN"/>
        </w:rPr>
        <w:t>二、</w:t>
      </w:r>
      <w:r>
        <w:rPr>
          <w:rFonts w:hint="default" w:ascii="Times New Roman" w:hAnsi="Times New Roman" w:eastAsia="黑体" w:cs="Times New Roman"/>
          <w:sz w:val="32"/>
          <w:szCs w:val="32"/>
          <w:lang w:val="en-US" w:eastAsia="zh-CN"/>
        </w:rPr>
        <w:t>2023年</w:t>
      </w:r>
      <w:r>
        <w:rPr>
          <w:rFonts w:hint="default" w:ascii="Times New Roman" w:hAnsi="Times New Roman" w:eastAsia="黑体" w:cs="Times New Roman"/>
          <w:sz w:val="32"/>
          <w:szCs w:val="32"/>
          <w:lang w:val="zh-TW" w:eastAsia="zh-CN"/>
        </w:rPr>
        <w:t>第二批</w:t>
      </w:r>
      <w:r>
        <w:rPr>
          <w:rFonts w:hint="eastAsia" w:eastAsia="黑体" w:cs="Times New Roman"/>
          <w:sz w:val="32"/>
          <w:szCs w:val="32"/>
          <w:lang w:val="zh-TW" w:eastAsia="zh-CN"/>
        </w:rPr>
        <w:t>省级</w:t>
      </w:r>
      <w:r>
        <w:rPr>
          <w:rFonts w:hint="default" w:ascii="Times New Roman" w:hAnsi="Times New Roman" w:eastAsia="黑体" w:cs="Times New Roman"/>
          <w:sz w:val="32"/>
          <w:szCs w:val="32"/>
          <w:lang w:val="en-US" w:eastAsia="zh-CN"/>
        </w:rPr>
        <w:t>财政衔接资金安排</w:t>
      </w:r>
    </w:p>
    <w:p>
      <w:pPr>
        <w:spacing w:line="578" w:lineRule="exact"/>
        <w:ind w:firstLine="640"/>
        <w:rPr>
          <w:rFonts w:hint="default" w:ascii="Times New Roman" w:hAnsi="Times New Roman" w:eastAsia="楷体_GB2312" w:cs="Times New Roman"/>
          <w:sz w:val="32"/>
          <w:szCs w:val="32"/>
          <w:lang w:val="zh-TW"/>
        </w:rPr>
      </w:pPr>
      <w:r>
        <w:rPr>
          <w:rFonts w:hint="default" w:ascii="Times New Roman" w:hAnsi="Times New Roman" w:eastAsia="楷体_GB2312" w:cs="Times New Roman"/>
          <w:sz w:val="32"/>
          <w:szCs w:val="32"/>
          <w:lang w:val="zh-TW" w:eastAsia="zh-CN"/>
        </w:rPr>
        <w:t>（一）</w:t>
      </w:r>
      <w:r>
        <w:rPr>
          <w:rFonts w:hint="default" w:ascii="Times New Roman" w:hAnsi="Times New Roman" w:eastAsia="楷体_GB2312" w:cs="Times New Roman"/>
          <w:sz w:val="32"/>
          <w:szCs w:val="32"/>
          <w:lang w:val="zh-TW" w:eastAsia="zh-TW"/>
        </w:rPr>
        <w:t>资金</w:t>
      </w:r>
      <w:r>
        <w:rPr>
          <w:rFonts w:hint="default" w:ascii="Times New Roman" w:hAnsi="Times New Roman" w:eastAsia="楷体_GB2312" w:cs="Times New Roman"/>
          <w:sz w:val="32"/>
          <w:szCs w:val="32"/>
          <w:lang w:val="zh-TW"/>
        </w:rPr>
        <w:t>来源</w:t>
      </w:r>
      <w:r>
        <w:rPr>
          <w:rFonts w:hint="default" w:ascii="Times New Roman" w:hAnsi="Times New Roman" w:eastAsia="楷体_GB2312" w:cs="Times New Roman"/>
          <w:sz w:val="32"/>
          <w:szCs w:val="32"/>
        </w:rPr>
        <w:t>及规模</w:t>
      </w:r>
    </w:p>
    <w:p>
      <w:pPr>
        <w:spacing w:line="578" w:lineRule="exact"/>
        <w:ind w:firstLine="640" w:firstLineChars="200"/>
      </w:pPr>
      <w:r>
        <w:rPr>
          <w:rFonts w:hint="eastAsia" w:eastAsia="仿宋_GB2312"/>
          <w:sz w:val="32"/>
          <w:szCs w:val="32"/>
          <w:lang w:val="en-US" w:eastAsia="zh-CN"/>
        </w:rPr>
        <w:t>根据三亚市财政局《</w:t>
      </w:r>
      <w:r>
        <w:rPr>
          <w:rFonts w:hint="eastAsia" w:eastAsia="仿宋_GB2312"/>
          <w:sz w:val="32"/>
          <w:szCs w:val="32"/>
        </w:rPr>
        <w:t>关于下达2023年</w:t>
      </w:r>
      <w:r>
        <w:rPr>
          <w:rFonts w:hint="eastAsia" w:eastAsia="仿宋_GB2312"/>
          <w:sz w:val="32"/>
          <w:szCs w:val="32"/>
          <w:lang w:eastAsia="zh-CN"/>
        </w:rPr>
        <w:t>第二批省级</w:t>
      </w:r>
      <w:r>
        <w:rPr>
          <w:rFonts w:hint="eastAsia" w:eastAsia="仿宋_GB2312"/>
          <w:sz w:val="32"/>
          <w:szCs w:val="32"/>
        </w:rPr>
        <w:t>财政衔接推进乡村振兴补助资金（直达资金）的通知</w:t>
      </w:r>
      <w:r>
        <w:rPr>
          <w:rFonts w:hint="eastAsia" w:eastAsia="仿宋_GB2312"/>
          <w:sz w:val="32"/>
          <w:szCs w:val="32"/>
          <w:lang w:eastAsia="zh-CN"/>
        </w:rPr>
        <w:t>》（</w:t>
      </w:r>
      <w:r>
        <w:rPr>
          <w:rFonts w:hint="eastAsia" w:eastAsia="仿宋_GB2312"/>
          <w:sz w:val="32"/>
          <w:szCs w:val="32"/>
          <w:lang w:val="en-US" w:eastAsia="zh-CN"/>
        </w:rPr>
        <w:t>三财农</w:t>
      </w:r>
      <w:r>
        <w:rPr>
          <w:rFonts w:eastAsia="仿宋_GB2312"/>
          <w:sz w:val="32"/>
          <w:szCs w:val="32"/>
        </w:rPr>
        <w:t>〔20</w:t>
      </w:r>
      <w:r>
        <w:rPr>
          <w:rFonts w:hint="eastAsia" w:eastAsia="仿宋_GB2312"/>
          <w:sz w:val="32"/>
          <w:szCs w:val="32"/>
          <w:lang w:val="en-US" w:eastAsia="zh-CN"/>
        </w:rPr>
        <w:t>23</w:t>
      </w:r>
      <w:r>
        <w:rPr>
          <w:rFonts w:eastAsia="仿宋_GB2312"/>
          <w:sz w:val="32"/>
          <w:szCs w:val="32"/>
        </w:rPr>
        <w:t>〕</w:t>
      </w:r>
      <w:r>
        <w:rPr>
          <w:rFonts w:hint="eastAsia" w:eastAsia="仿宋_GB2312"/>
          <w:sz w:val="32"/>
          <w:szCs w:val="32"/>
          <w:lang w:val="en-US" w:eastAsia="zh-CN"/>
        </w:rPr>
        <w:t>116号</w:t>
      </w:r>
      <w:r>
        <w:rPr>
          <w:rFonts w:hint="eastAsia" w:eastAsia="仿宋_GB2312"/>
          <w:sz w:val="32"/>
          <w:szCs w:val="32"/>
          <w:lang w:eastAsia="zh-CN"/>
        </w:rPr>
        <w:t>）</w:t>
      </w:r>
      <w:r>
        <w:rPr>
          <w:rFonts w:hint="eastAsia" w:eastAsia="仿宋_GB2312"/>
          <w:sz w:val="32"/>
          <w:szCs w:val="32"/>
          <w:lang w:val="en-US" w:eastAsia="zh-CN"/>
        </w:rPr>
        <w:t>文件，</w:t>
      </w:r>
      <w:r>
        <w:rPr>
          <w:rFonts w:eastAsia="仿宋_GB2312"/>
          <w:sz w:val="32"/>
          <w:szCs w:val="32"/>
        </w:rPr>
        <w:t>下达我区202</w:t>
      </w:r>
      <w:r>
        <w:rPr>
          <w:rFonts w:hint="eastAsia" w:eastAsia="仿宋_GB2312"/>
          <w:sz w:val="32"/>
          <w:szCs w:val="32"/>
          <w:lang w:val="en-US" w:eastAsia="zh-CN"/>
        </w:rPr>
        <w:t>3</w:t>
      </w:r>
      <w:r>
        <w:rPr>
          <w:rFonts w:eastAsia="仿宋_GB2312"/>
          <w:sz w:val="32"/>
          <w:szCs w:val="32"/>
        </w:rPr>
        <w:t>年</w:t>
      </w:r>
      <w:r>
        <w:rPr>
          <w:rFonts w:hint="eastAsia" w:eastAsia="仿宋_GB2312"/>
          <w:sz w:val="32"/>
          <w:szCs w:val="32"/>
          <w:lang w:eastAsia="zh-CN"/>
        </w:rPr>
        <w:t>第二批省级</w:t>
      </w:r>
      <w:r>
        <w:rPr>
          <w:rFonts w:eastAsia="仿宋_GB2312"/>
          <w:sz w:val="32"/>
          <w:szCs w:val="32"/>
        </w:rPr>
        <w:t>财政衔接推进乡村振兴补助资金</w:t>
      </w:r>
      <w:r>
        <w:rPr>
          <w:rFonts w:hint="eastAsia" w:eastAsia="仿宋_GB2312"/>
          <w:sz w:val="32"/>
          <w:szCs w:val="32"/>
          <w:lang w:val="en-US" w:eastAsia="zh-CN"/>
        </w:rPr>
        <w:t>299</w:t>
      </w:r>
      <w:r>
        <w:rPr>
          <w:rFonts w:eastAsia="仿宋_GB2312"/>
          <w:sz w:val="32"/>
        </w:rPr>
        <w:t>万元</w:t>
      </w:r>
      <w:r>
        <w:rPr>
          <w:rFonts w:hint="eastAsia" w:eastAsia="仿宋_GB2312"/>
          <w:sz w:val="32"/>
          <w:szCs w:val="32"/>
          <w:lang w:val="en-US" w:eastAsia="zh-CN"/>
        </w:rPr>
        <w:t>（其中40万元为扎南村发展新型农村集体经济资金、40万元为立新村发展新型农村集体经济资金）。</w:t>
      </w:r>
    </w:p>
    <w:p>
      <w:pPr>
        <w:numPr>
          <w:ilvl w:val="0"/>
          <w:numId w:val="1"/>
        </w:numPr>
        <w:spacing w:line="578" w:lineRule="exact"/>
        <w:ind w:firstLine="640" w:firstLineChars="200"/>
        <w:rPr>
          <w:rFonts w:hint="default" w:ascii="Times New Roman" w:hAnsi="Times New Roman" w:eastAsia="楷体_GB2312" w:cs="Times New Roman"/>
          <w:b w:val="0"/>
          <w:bCs w:val="0"/>
          <w:sz w:val="32"/>
          <w:szCs w:val="32"/>
          <w:lang w:val="zh-TW" w:eastAsia="zh-CN"/>
        </w:rPr>
      </w:pPr>
      <w:r>
        <w:rPr>
          <w:rFonts w:hint="default" w:ascii="Times New Roman" w:hAnsi="Times New Roman" w:eastAsia="楷体_GB2312" w:cs="Times New Roman"/>
          <w:b w:val="0"/>
          <w:bCs w:val="0"/>
          <w:sz w:val="32"/>
          <w:szCs w:val="32"/>
          <w:lang w:val="zh-TW" w:eastAsia="zh-CN"/>
        </w:rPr>
        <w:t>资金安排</w:t>
      </w:r>
    </w:p>
    <w:p>
      <w:pPr>
        <w:pStyle w:val="2"/>
        <w:numPr>
          <w:numId w:val="0"/>
        </w:numPr>
        <w:rPr>
          <w:rFonts w:hint="eastAsia"/>
          <w:lang w:val="en-US" w:eastAsia="zh-CN"/>
        </w:rPr>
      </w:pPr>
      <w:r>
        <w:rPr>
          <w:rFonts w:hint="eastAsia"/>
          <w:b/>
          <w:bCs/>
          <w:lang w:val="en-US" w:eastAsia="zh-CN"/>
        </w:rPr>
        <w:t xml:space="preserve">    1.三亚佳翔农产品冷链物流园项目。</w:t>
      </w:r>
      <w:r>
        <w:rPr>
          <w:rFonts w:hint="eastAsia" w:eastAsia="仿宋_GB2312"/>
          <w:color w:val="auto"/>
          <w:sz w:val="32"/>
          <w:szCs w:val="32"/>
          <w:lang w:val="en-US" w:eastAsia="zh-CN"/>
        </w:rPr>
        <w:t>安排省级财政衔接资金</w:t>
      </w:r>
      <w:r>
        <w:rPr>
          <w:rFonts w:hint="eastAsia"/>
          <w:color w:val="auto"/>
          <w:sz w:val="32"/>
          <w:szCs w:val="32"/>
          <w:lang w:val="en-US" w:eastAsia="zh-CN"/>
        </w:rPr>
        <w:t>80</w:t>
      </w:r>
      <w:r>
        <w:rPr>
          <w:rFonts w:hint="eastAsia" w:eastAsia="仿宋_GB2312"/>
          <w:color w:val="auto"/>
          <w:sz w:val="32"/>
          <w:szCs w:val="32"/>
          <w:lang w:val="en-US" w:eastAsia="zh-CN"/>
        </w:rPr>
        <w:t>万元</w:t>
      </w:r>
      <w:r>
        <w:rPr>
          <w:rFonts w:hint="eastAsia" w:eastAsia="仿宋_GB2312"/>
          <w:sz w:val="32"/>
          <w:szCs w:val="32"/>
          <w:lang w:val="en-US" w:eastAsia="zh-CN"/>
        </w:rPr>
        <w:t>（其中40万元为扎南村发展新型农村集体经济资金、40万元为立新村发展新型农村集体经济资金）</w:t>
      </w:r>
      <w:r>
        <w:rPr>
          <w:rFonts w:hint="eastAsia"/>
          <w:sz w:val="32"/>
          <w:szCs w:val="32"/>
          <w:lang w:val="en-US" w:eastAsia="zh-CN"/>
        </w:rPr>
        <w:t>，</w:t>
      </w:r>
      <w:r>
        <w:rPr>
          <w:rFonts w:hint="eastAsia"/>
          <w:lang w:val="en-US" w:eastAsia="zh-CN"/>
        </w:rPr>
        <w:t>项目依托海南佳翔实业有限公司建设三亚佳翔航空货运农产品加工贸易冷链物流园三期项目，以衔接资金投入项目物流商贸展览交易中心一层西侧2500平方米丙类仓库固定设施。</w:t>
      </w:r>
    </w:p>
    <w:p>
      <w:pPr>
        <w:pStyle w:val="2"/>
        <w:numPr>
          <w:numId w:val="0"/>
        </w:numPr>
        <w:ind w:firstLine="643" w:firstLineChars="200"/>
        <w:rPr>
          <w:rFonts w:hint="default"/>
          <w:lang w:val="en-US" w:eastAsia="zh-CN"/>
        </w:rPr>
      </w:pPr>
      <w:r>
        <w:rPr>
          <w:rFonts w:hint="eastAsia" w:ascii="Times New Roman" w:hAnsi="Times New Roman" w:eastAsia="仿宋" w:cs="Times New Roman"/>
          <w:b/>
          <w:bCs/>
          <w:color w:val="auto"/>
          <w:sz w:val="32"/>
          <w:szCs w:val="32"/>
          <w:lang w:val="en-US" w:eastAsia="zh-CN"/>
        </w:rPr>
        <w:t>预期绩效目标：</w:t>
      </w:r>
      <w:r>
        <w:rPr>
          <w:rFonts w:hint="eastAsia"/>
          <w:lang w:val="en-US" w:eastAsia="zh-CN"/>
        </w:rPr>
        <w:t>以年收益6%以上（以合作协议约定为准）的固定收益合作运营，合作期限10年，为村集体增加收益，带动农民务工增收，收购本地农民产品、带动产销对接。</w:t>
      </w:r>
    </w:p>
    <w:p>
      <w:pPr>
        <w:numPr>
          <w:numId w:val="0"/>
        </w:numPr>
        <w:spacing w:line="578" w:lineRule="exact"/>
        <w:ind w:firstLine="643" w:firstLineChars="200"/>
        <w:rPr>
          <w:rFonts w:hint="eastAsia" w:ascii="Times New Roman" w:hAnsi="Times New Roman" w:eastAsia="仿宋" w:cs="Times New Roman"/>
          <w:color w:val="auto"/>
          <w:sz w:val="32"/>
          <w:szCs w:val="32"/>
          <w:lang w:val="en-US" w:eastAsia="zh-CN"/>
        </w:rPr>
      </w:pPr>
      <w:r>
        <w:rPr>
          <w:rFonts w:hint="eastAsia" w:eastAsia="仿宋_GB2312" w:cs="Times New Roman"/>
          <w:b/>
          <w:bCs/>
          <w:color w:val="auto"/>
          <w:sz w:val="32"/>
          <w:szCs w:val="32"/>
          <w:lang w:val="en-US" w:eastAsia="zh-CN"/>
        </w:rPr>
        <w:t>2</w:t>
      </w:r>
      <w:r>
        <w:rPr>
          <w:rFonts w:hint="eastAsia" w:ascii="Times New Roman" w:hAnsi="Times New Roman" w:eastAsia="仿宋_GB2312" w:cs="Times New Roman"/>
          <w:b/>
          <w:bCs/>
          <w:color w:val="auto"/>
          <w:sz w:val="32"/>
          <w:szCs w:val="32"/>
          <w:lang w:val="en-US" w:eastAsia="zh-CN"/>
        </w:rPr>
        <w:t>.三亚甜瓜产业基地供电设施工程。</w:t>
      </w:r>
      <w:r>
        <w:rPr>
          <w:rFonts w:hint="eastAsia" w:eastAsia="仿宋_GB2312"/>
          <w:color w:val="auto"/>
          <w:sz w:val="32"/>
          <w:szCs w:val="32"/>
          <w:lang w:val="en-US" w:eastAsia="zh-CN"/>
        </w:rPr>
        <w:t>安排省级财政衔接资金79万元，</w:t>
      </w:r>
      <w:r>
        <w:rPr>
          <w:rFonts w:hint="eastAsia" w:eastAsia="仿宋_GB2312"/>
          <w:color w:val="auto"/>
          <w:sz w:val="32"/>
          <w:szCs w:val="32"/>
          <w:lang w:eastAsia="zh-CN"/>
        </w:rPr>
        <w:t>项目内容主要为</w:t>
      </w:r>
      <w:r>
        <w:rPr>
          <w:rFonts w:hint="eastAsia" w:ascii="Times New Roman" w:hAnsi="Times New Roman" w:eastAsia="仿宋" w:cs="Times New Roman"/>
          <w:color w:val="auto"/>
          <w:sz w:val="32"/>
          <w:szCs w:val="32"/>
          <w:lang w:val="en-US" w:eastAsia="zh-CN"/>
        </w:rPr>
        <w:t>新建接火点、10kV外线电缆1365米及500kVA箱变一台等。</w:t>
      </w:r>
    </w:p>
    <w:p>
      <w:pPr>
        <w:numPr>
          <w:numId w:val="0"/>
        </w:numPr>
        <w:spacing w:line="578" w:lineRule="exact"/>
        <w:ind w:firstLine="643" w:firstLineChars="200"/>
        <w:rPr>
          <w:rFonts w:hint="eastAsia" w:ascii="Times New Roman" w:hAnsi="Times New Roman" w:eastAsia="仿宋" w:cs="Times New Roman"/>
          <w:color w:val="auto"/>
          <w:sz w:val="32"/>
          <w:szCs w:val="32"/>
          <w:lang w:val="en-US" w:eastAsia="zh-CN"/>
        </w:rPr>
      </w:pPr>
      <w:r>
        <w:rPr>
          <w:rFonts w:hint="eastAsia" w:ascii="Times New Roman" w:hAnsi="Times New Roman" w:eastAsia="仿宋" w:cs="Times New Roman"/>
          <w:b/>
          <w:bCs/>
          <w:color w:val="auto"/>
          <w:sz w:val="32"/>
          <w:szCs w:val="32"/>
          <w:lang w:val="en-US" w:eastAsia="zh-CN"/>
        </w:rPr>
        <w:t>预期绩效目标：</w:t>
      </w:r>
      <w:r>
        <w:rPr>
          <w:rFonts w:hint="eastAsia" w:ascii="Times New Roman" w:hAnsi="Times New Roman" w:eastAsia="仿宋" w:cs="Times New Roman"/>
          <w:color w:val="auto"/>
          <w:sz w:val="32"/>
          <w:szCs w:val="32"/>
          <w:lang w:val="en-US" w:eastAsia="zh-CN"/>
        </w:rPr>
        <w:t>完善甜瓜基地电力配套设施，解决甜瓜基地生产用电问题，保障周边农民正常生产，促进基地及周边农民瓜果外销问题，以及保障农村集体产业经济的稳定，促进农村集体产业经济发展。</w:t>
      </w:r>
      <w:r>
        <w:rPr>
          <w:rFonts w:hint="eastAsia" w:eastAsia="仿宋" w:cs="Times New Roman"/>
          <w:color w:val="auto"/>
          <w:sz w:val="32"/>
          <w:szCs w:val="32"/>
          <w:lang w:val="en-US" w:eastAsia="zh-CN"/>
        </w:rPr>
        <w:t>具体</w:t>
      </w:r>
      <w:r>
        <w:rPr>
          <w:rFonts w:hint="eastAsia" w:ascii="Times New Roman" w:hAnsi="Times New Roman" w:eastAsia="仿宋" w:cs="Times New Roman"/>
          <w:color w:val="auto"/>
          <w:sz w:val="32"/>
          <w:szCs w:val="32"/>
          <w:lang w:val="en-US" w:eastAsia="zh-CN"/>
        </w:rPr>
        <w:t>由区农业农村局负责</w:t>
      </w:r>
      <w:r>
        <w:rPr>
          <w:rFonts w:hint="eastAsia" w:eastAsia="仿宋" w:cs="Times New Roman"/>
          <w:color w:val="auto"/>
          <w:sz w:val="32"/>
          <w:szCs w:val="32"/>
          <w:lang w:val="en-US" w:eastAsia="zh-CN"/>
        </w:rPr>
        <w:t>实施</w:t>
      </w:r>
      <w:r>
        <w:rPr>
          <w:rFonts w:hint="eastAsia" w:ascii="Times New Roman" w:hAnsi="Times New Roman" w:eastAsia="仿宋" w:cs="Times New Roman"/>
          <w:color w:val="auto"/>
          <w:sz w:val="32"/>
          <w:szCs w:val="32"/>
          <w:lang w:val="en-US" w:eastAsia="zh-CN"/>
        </w:rPr>
        <w:t>。</w:t>
      </w:r>
    </w:p>
    <w:p>
      <w:pPr>
        <w:pStyle w:val="2"/>
        <w:ind w:left="0" w:leftChars="0" w:firstLine="643" w:firstLineChars="200"/>
        <w:rPr>
          <w:rFonts w:hint="eastAsia"/>
          <w:color w:val="000000"/>
          <w:sz w:val="32"/>
          <w:szCs w:val="32"/>
          <w:lang w:val="en-US" w:eastAsia="zh-CN"/>
        </w:rPr>
      </w:pPr>
      <w:r>
        <w:rPr>
          <w:rFonts w:hint="eastAsia" w:cs="Times New Roman"/>
          <w:b/>
          <w:bCs/>
          <w:color w:val="000000"/>
          <w:kern w:val="2"/>
          <w:sz w:val="32"/>
          <w:szCs w:val="32"/>
          <w:lang w:val="en-US" w:eastAsia="zh-CN" w:bidi="ar-SA"/>
        </w:rPr>
        <w:t>3</w:t>
      </w:r>
      <w:r>
        <w:rPr>
          <w:rFonts w:hint="eastAsia" w:ascii="Times New Roman" w:hAnsi="Times New Roman" w:eastAsia="仿宋_GB2312" w:cs="Times New Roman"/>
          <w:b/>
          <w:bCs/>
          <w:color w:val="000000"/>
          <w:kern w:val="2"/>
          <w:sz w:val="32"/>
          <w:szCs w:val="32"/>
          <w:lang w:val="en-US" w:eastAsia="zh-CN" w:bidi="ar-SA"/>
        </w:rPr>
        <w:t>.2023年天涯区就业补助资金扶持项目</w:t>
      </w:r>
      <w:r>
        <w:rPr>
          <w:rFonts w:hint="eastAsia" w:ascii="Times New Roman" w:hAnsi="Times New Roman" w:cs="Times New Roman"/>
          <w:b/>
          <w:bCs/>
          <w:color w:val="000000"/>
          <w:kern w:val="2"/>
          <w:sz w:val="32"/>
          <w:szCs w:val="32"/>
          <w:lang w:val="en-US" w:eastAsia="zh-CN" w:bidi="ar-SA"/>
        </w:rPr>
        <w:t>。</w:t>
      </w:r>
      <w:r>
        <w:rPr>
          <w:rFonts w:hint="eastAsia" w:eastAsia="仿宋_GB2312"/>
          <w:color w:val="000000"/>
          <w:sz w:val="32"/>
          <w:szCs w:val="32"/>
          <w:lang w:val="en-US" w:eastAsia="zh-CN"/>
        </w:rPr>
        <w:t>安排省级财政衔接资金</w:t>
      </w:r>
      <w:r>
        <w:rPr>
          <w:rFonts w:hint="eastAsia"/>
          <w:color w:val="000000"/>
          <w:sz w:val="32"/>
          <w:szCs w:val="32"/>
          <w:lang w:val="en-US" w:eastAsia="zh-CN"/>
        </w:rPr>
        <w:t>70</w:t>
      </w:r>
      <w:r>
        <w:rPr>
          <w:rFonts w:hint="eastAsia" w:eastAsia="仿宋_GB2312"/>
          <w:color w:val="000000"/>
          <w:sz w:val="32"/>
          <w:szCs w:val="32"/>
          <w:lang w:val="en-US" w:eastAsia="zh-CN"/>
        </w:rPr>
        <w:t>万元</w:t>
      </w:r>
      <w:r>
        <w:rPr>
          <w:rFonts w:hint="eastAsia"/>
          <w:color w:val="000000"/>
          <w:sz w:val="32"/>
          <w:szCs w:val="32"/>
          <w:lang w:val="en-US" w:eastAsia="zh-CN"/>
        </w:rPr>
        <w:t>，项目内容主要为乡村公益性岗位（原就业扶贫公益专岗）补贴（岗位补贴标准为：按我市最低工资标准的80%给予补贴每人每月1464元）。</w:t>
      </w:r>
    </w:p>
    <w:p>
      <w:pPr>
        <w:numPr>
          <w:numId w:val="0"/>
        </w:numPr>
        <w:spacing w:line="578" w:lineRule="exact"/>
        <w:ind w:firstLine="643" w:firstLineChars="200"/>
        <w:rPr>
          <w:rFonts w:hint="eastAsia" w:ascii="Times New Roman" w:hAnsi="Times New Roman" w:eastAsia="仿宋" w:cs="Times New Roman"/>
          <w:color w:val="000000"/>
          <w:sz w:val="32"/>
          <w:szCs w:val="32"/>
          <w:lang w:val="en-US" w:eastAsia="zh-CN"/>
        </w:rPr>
      </w:pPr>
      <w:r>
        <w:rPr>
          <w:rFonts w:hint="eastAsia" w:ascii="Times New Roman" w:hAnsi="Times New Roman" w:eastAsia="仿宋" w:cs="Times New Roman"/>
          <w:b/>
          <w:bCs/>
          <w:color w:val="000000"/>
          <w:sz w:val="32"/>
          <w:szCs w:val="32"/>
          <w:lang w:val="en-US" w:eastAsia="zh-CN"/>
        </w:rPr>
        <w:t>预期绩效目标：</w:t>
      </w:r>
      <w:r>
        <w:rPr>
          <w:rFonts w:hint="eastAsia" w:ascii="Times New Roman" w:hAnsi="Times New Roman" w:eastAsia="仿宋" w:cs="Times New Roman"/>
          <w:color w:val="000000"/>
          <w:sz w:val="32"/>
          <w:szCs w:val="32"/>
          <w:lang w:val="en-US" w:eastAsia="zh-CN"/>
        </w:rPr>
        <w:t>通过发放乡村公益岗位补贴，对就业困难人员实施就业扶持，促进535户941人实现就业。</w:t>
      </w:r>
      <w:r>
        <w:rPr>
          <w:rFonts w:hint="eastAsia" w:eastAsia="仿宋" w:cs="Times New Roman"/>
          <w:color w:val="000000"/>
          <w:sz w:val="32"/>
          <w:szCs w:val="32"/>
          <w:lang w:val="en-US" w:eastAsia="zh-CN"/>
        </w:rPr>
        <w:t>具体</w:t>
      </w:r>
      <w:r>
        <w:rPr>
          <w:rFonts w:hint="eastAsia" w:ascii="Times New Roman" w:hAnsi="Times New Roman" w:eastAsia="仿宋" w:cs="Times New Roman"/>
          <w:color w:val="000000"/>
          <w:sz w:val="32"/>
          <w:szCs w:val="32"/>
          <w:lang w:val="en-US" w:eastAsia="zh-CN"/>
        </w:rPr>
        <w:t>由区人社局负责实施。</w:t>
      </w:r>
    </w:p>
    <w:p>
      <w:pPr>
        <w:pStyle w:val="2"/>
        <w:numPr>
          <w:numId w:val="0"/>
        </w:numPr>
        <w:ind w:left="0" w:leftChars="0" w:firstLine="643" w:firstLineChars="200"/>
        <w:rPr>
          <w:rFonts w:hint="eastAsia"/>
          <w:color w:val="000000"/>
          <w:sz w:val="32"/>
          <w:szCs w:val="32"/>
          <w:lang w:val="en-US" w:eastAsia="zh-CN"/>
        </w:rPr>
      </w:pPr>
      <w:r>
        <w:rPr>
          <w:rFonts w:hint="eastAsia"/>
          <w:b/>
          <w:bCs/>
          <w:color w:val="000000"/>
          <w:sz w:val="32"/>
          <w:szCs w:val="32"/>
          <w:lang w:val="en-US" w:eastAsia="zh-CN"/>
        </w:rPr>
        <w:t>4.天涯区2023年脱贫户及监测户产业扶持奖励项目。</w:t>
      </w:r>
      <w:r>
        <w:rPr>
          <w:rFonts w:hint="eastAsia" w:eastAsia="仿宋_GB2312"/>
          <w:color w:val="000000"/>
          <w:sz w:val="32"/>
          <w:szCs w:val="32"/>
          <w:lang w:val="en-US" w:eastAsia="zh-CN"/>
        </w:rPr>
        <w:t>安排省级财政衔接资金</w:t>
      </w:r>
      <w:r>
        <w:rPr>
          <w:rFonts w:hint="eastAsia"/>
          <w:color w:val="000000"/>
          <w:sz w:val="32"/>
          <w:szCs w:val="32"/>
          <w:lang w:val="en-US" w:eastAsia="zh-CN"/>
        </w:rPr>
        <w:t>70</w:t>
      </w:r>
      <w:r>
        <w:rPr>
          <w:rFonts w:hint="eastAsia" w:eastAsia="仿宋_GB2312"/>
          <w:color w:val="000000"/>
          <w:sz w:val="32"/>
          <w:szCs w:val="32"/>
          <w:lang w:val="en-US" w:eastAsia="zh-CN"/>
        </w:rPr>
        <w:t>万元</w:t>
      </w:r>
      <w:r>
        <w:rPr>
          <w:rFonts w:hint="eastAsia"/>
          <w:color w:val="000000"/>
          <w:sz w:val="32"/>
          <w:szCs w:val="32"/>
          <w:lang w:val="en-US" w:eastAsia="zh-CN"/>
        </w:rPr>
        <w:t>，项目内容主要对2023年度家庭生产经营性纯收入达4000元以上（含）-8000元、达8000元以上（含）-12000、达12000元以上（含）的脱贫户及监测户（奖励人数约655户），每户奖励1000-3000元用于生产发展。</w:t>
      </w:r>
    </w:p>
    <w:p>
      <w:pPr>
        <w:pStyle w:val="2"/>
        <w:ind w:left="0" w:leftChars="0" w:firstLine="643" w:firstLineChars="200"/>
        <w:rPr>
          <w:rFonts w:hint="eastAsia" w:ascii="Times New Roman" w:hAnsi="Times New Roman" w:eastAsia="仿宋" w:cs="Times New Roman"/>
          <w:color w:val="000000"/>
          <w:sz w:val="32"/>
          <w:szCs w:val="32"/>
          <w:lang w:val="en-US" w:eastAsia="zh-CN"/>
        </w:rPr>
      </w:pPr>
      <w:r>
        <w:rPr>
          <w:rFonts w:hint="eastAsia" w:ascii="Times New Roman" w:hAnsi="Times New Roman" w:eastAsia="仿宋" w:cs="Times New Roman"/>
          <w:b/>
          <w:bCs/>
          <w:color w:val="000000"/>
          <w:sz w:val="32"/>
          <w:szCs w:val="32"/>
          <w:lang w:val="en-US" w:eastAsia="zh-CN"/>
        </w:rPr>
        <w:t>预期绩效目标：</w:t>
      </w:r>
      <w:r>
        <w:rPr>
          <w:rFonts w:hint="eastAsia" w:ascii="Times New Roman" w:hAnsi="Times New Roman" w:eastAsia="仿宋" w:cs="Times New Roman"/>
          <w:color w:val="000000"/>
          <w:sz w:val="32"/>
          <w:szCs w:val="32"/>
          <w:lang w:val="en-US" w:eastAsia="zh-CN"/>
        </w:rPr>
        <w:t>奖励补贴覆盖脱贫户及监测户约655户。</w:t>
      </w:r>
      <w:r>
        <w:rPr>
          <w:rFonts w:hint="eastAsia" w:eastAsia="仿宋" w:cs="Times New Roman"/>
          <w:color w:val="000000"/>
          <w:sz w:val="32"/>
          <w:szCs w:val="32"/>
          <w:lang w:val="en-US" w:eastAsia="zh-CN"/>
        </w:rPr>
        <w:t>具体</w:t>
      </w:r>
      <w:r>
        <w:rPr>
          <w:rFonts w:hint="eastAsia" w:ascii="Times New Roman" w:hAnsi="Times New Roman" w:eastAsia="仿宋" w:cs="Times New Roman"/>
          <w:color w:val="000000"/>
          <w:sz w:val="32"/>
          <w:szCs w:val="32"/>
          <w:lang w:val="en-US" w:eastAsia="zh-CN"/>
        </w:rPr>
        <w:t>由区农业农村局负责实施。</w:t>
      </w:r>
    </w:p>
    <w:p>
      <w:pPr>
        <w:pStyle w:val="2"/>
        <w:ind w:left="0" w:leftChars="0" w:firstLine="640" w:firstLineChars="200"/>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三、2023年提前批</w:t>
      </w:r>
      <w:r>
        <w:rPr>
          <w:rFonts w:hint="eastAsia" w:eastAsia="黑体" w:cs="Times New Roman"/>
          <w:kern w:val="2"/>
          <w:sz w:val="32"/>
          <w:szCs w:val="32"/>
          <w:lang w:val="en-US" w:eastAsia="zh-CN" w:bidi="ar-SA"/>
        </w:rPr>
        <w:t>中央</w:t>
      </w:r>
      <w:r>
        <w:rPr>
          <w:rFonts w:hint="default" w:ascii="Times New Roman" w:hAnsi="Times New Roman" w:eastAsia="黑体" w:cs="Times New Roman"/>
          <w:kern w:val="2"/>
          <w:sz w:val="32"/>
          <w:szCs w:val="32"/>
          <w:lang w:val="en-US" w:eastAsia="zh-CN" w:bidi="ar-SA"/>
        </w:rPr>
        <w:t>和市级财政衔接资金调整</w:t>
      </w:r>
    </w:p>
    <w:p>
      <w:pPr>
        <w:pStyle w:val="2"/>
        <w:numPr>
          <w:numId w:val="0"/>
        </w:numPr>
        <w:ind w:firstLine="640"/>
        <w:rPr>
          <w:rFonts w:hint="eastAsia" w:eastAsia="仿宋_GB2312"/>
          <w:sz w:val="32"/>
          <w:szCs w:val="32"/>
          <w:lang w:val="en-US" w:eastAsia="zh-CN"/>
        </w:rPr>
      </w:pPr>
      <w:r>
        <w:rPr>
          <w:rFonts w:hint="eastAsia" w:ascii="Times New Roman" w:hAnsi="Times New Roman" w:cs="Times New Roman"/>
          <w:b w:val="0"/>
          <w:bCs w:val="0"/>
          <w:color w:val="000000"/>
          <w:kern w:val="2"/>
          <w:sz w:val="32"/>
          <w:szCs w:val="32"/>
          <w:lang w:val="en-US" w:eastAsia="zh-CN" w:bidi="ar-SA"/>
        </w:rPr>
        <w:t>2023年1月7日，我区印发了《三亚市天涯区2023年财政衔接推进乡村振兴补助资金（提前批）安排方案》（天委办〔2023〕2号），为用好上级财政衔接资金，进一步</w:t>
      </w:r>
      <w:r>
        <w:rPr>
          <w:rFonts w:hint="eastAsia" w:ascii="Times New Roman" w:hAnsi="Times New Roman" w:eastAsia="仿宋_GB2312" w:cs="Times New Roman"/>
          <w:b w:val="0"/>
          <w:bCs w:val="0"/>
          <w:color w:val="000000"/>
          <w:kern w:val="2"/>
          <w:sz w:val="32"/>
          <w:szCs w:val="32"/>
          <w:lang w:val="en-US" w:eastAsia="zh-CN" w:bidi="ar-SA"/>
        </w:rPr>
        <w:t>发挥衔接资金效益，结合</w:t>
      </w:r>
      <w:r>
        <w:rPr>
          <w:rFonts w:hint="eastAsia" w:ascii="Times New Roman" w:hAnsi="Times New Roman" w:cs="Times New Roman"/>
          <w:b w:val="0"/>
          <w:bCs w:val="0"/>
          <w:color w:val="000000"/>
          <w:kern w:val="2"/>
          <w:sz w:val="32"/>
          <w:szCs w:val="32"/>
          <w:lang w:val="en-US" w:eastAsia="zh-CN" w:bidi="ar-SA"/>
        </w:rPr>
        <w:t>我区</w:t>
      </w:r>
      <w:r>
        <w:rPr>
          <w:rFonts w:hint="eastAsia" w:ascii="Times New Roman" w:hAnsi="Times New Roman" w:eastAsia="仿宋_GB2312" w:cs="Times New Roman"/>
          <w:b w:val="0"/>
          <w:bCs w:val="0"/>
          <w:color w:val="000000"/>
          <w:kern w:val="2"/>
          <w:sz w:val="32"/>
          <w:szCs w:val="32"/>
          <w:lang w:val="en-US" w:eastAsia="zh-CN" w:bidi="ar-SA"/>
        </w:rPr>
        <w:t>实际，将原安排至天涯区榴莲莲雾种植项目的</w:t>
      </w:r>
      <w:r>
        <w:rPr>
          <w:rFonts w:hint="eastAsia" w:ascii="Times New Roman" w:hAnsi="Times New Roman" w:cs="Times New Roman"/>
          <w:b w:val="0"/>
          <w:bCs w:val="0"/>
          <w:color w:val="000000"/>
          <w:kern w:val="2"/>
          <w:sz w:val="32"/>
          <w:szCs w:val="32"/>
          <w:lang w:val="en-US" w:eastAsia="zh-CN" w:bidi="ar-SA"/>
        </w:rPr>
        <w:t>350万元（其中中央资金200万元、市级资金150万元）和</w:t>
      </w:r>
      <w:r>
        <w:rPr>
          <w:rFonts w:hint="eastAsia" w:ascii="Times New Roman" w:hAnsi="Times New Roman" w:eastAsia="仿宋_GB2312" w:cs="Times New Roman"/>
          <w:b w:val="0"/>
          <w:bCs w:val="0"/>
          <w:color w:val="000000"/>
          <w:kern w:val="2"/>
          <w:sz w:val="32"/>
          <w:szCs w:val="32"/>
          <w:lang w:val="en-US" w:eastAsia="zh-CN" w:bidi="ar-SA"/>
        </w:rPr>
        <w:t>原安排至天涯区非转基因木瓜标准化种植项目</w:t>
      </w:r>
      <w:r>
        <w:rPr>
          <w:rFonts w:hint="eastAsia" w:ascii="Times New Roman" w:hAnsi="Times New Roman" w:cs="Times New Roman"/>
          <w:b w:val="0"/>
          <w:bCs w:val="0"/>
          <w:color w:val="000000"/>
          <w:kern w:val="2"/>
          <w:sz w:val="32"/>
          <w:szCs w:val="32"/>
          <w:lang w:val="en-US" w:eastAsia="zh-CN" w:bidi="ar-SA"/>
        </w:rPr>
        <w:t>540万元（其中中央资金360万元、市级180万元）</w:t>
      </w:r>
      <w:r>
        <w:rPr>
          <w:rFonts w:hint="eastAsia" w:ascii="Times New Roman" w:hAnsi="Times New Roman" w:eastAsia="仿宋_GB2312" w:cs="Times New Roman"/>
          <w:b w:val="0"/>
          <w:bCs w:val="0"/>
          <w:color w:val="000000"/>
          <w:kern w:val="2"/>
          <w:sz w:val="32"/>
          <w:szCs w:val="32"/>
          <w:lang w:val="en-US" w:eastAsia="zh-CN" w:bidi="ar-SA"/>
        </w:rPr>
        <w:t>全部</w:t>
      </w:r>
      <w:r>
        <w:rPr>
          <w:rFonts w:hint="eastAsia" w:ascii="Times New Roman" w:hAnsi="Times New Roman" w:cs="Times New Roman"/>
          <w:b w:val="0"/>
          <w:bCs w:val="0"/>
          <w:color w:val="000000"/>
          <w:kern w:val="2"/>
          <w:sz w:val="32"/>
          <w:szCs w:val="32"/>
          <w:lang w:val="en-US" w:eastAsia="zh-CN" w:bidi="ar-SA"/>
        </w:rPr>
        <w:t>调剂至</w:t>
      </w:r>
      <w:r>
        <w:rPr>
          <w:rFonts w:hint="eastAsia" w:ascii="Times New Roman" w:hAnsi="Times New Roman" w:eastAsia="仿宋_GB2312" w:cs="Times New Roman"/>
          <w:b w:val="0"/>
          <w:bCs w:val="0"/>
          <w:color w:val="auto"/>
          <w:sz w:val="32"/>
          <w:szCs w:val="32"/>
          <w:lang w:val="en-US" w:eastAsia="zh-CN"/>
        </w:rPr>
        <w:t>三亚佳翔农产品冷链物流园项目</w:t>
      </w:r>
      <w:r>
        <w:rPr>
          <w:rFonts w:hint="eastAsia" w:ascii="Times New Roman" w:hAnsi="Times New Roman" w:eastAsia="仿宋_GB2312" w:cs="Times New Roman"/>
          <w:b w:val="0"/>
          <w:bCs w:val="0"/>
          <w:color w:val="000000"/>
          <w:kern w:val="2"/>
          <w:sz w:val="32"/>
          <w:szCs w:val="32"/>
          <w:lang w:val="en-US" w:eastAsia="zh-CN" w:bidi="ar-SA"/>
        </w:rPr>
        <w:t>，</w:t>
      </w:r>
      <w:r>
        <w:rPr>
          <w:rFonts w:hint="eastAsia"/>
          <w:lang w:val="en-US" w:eastAsia="zh-CN"/>
        </w:rPr>
        <w:t>投入项目物流商贸展览交易中心一层西侧2500平方米丙类仓库固定设施，</w:t>
      </w:r>
      <w:r>
        <w:rPr>
          <w:rFonts w:hint="eastAsia" w:eastAsia="仿宋_GB2312"/>
          <w:sz w:val="32"/>
          <w:szCs w:val="32"/>
          <w:lang w:val="en-US" w:eastAsia="zh-CN"/>
        </w:rPr>
        <w:t>资金由区农业农村局负责按有关要求作调整。</w:t>
      </w:r>
    </w:p>
    <w:p>
      <w:pPr>
        <w:pStyle w:val="2"/>
        <w:numPr>
          <w:numId w:val="0"/>
        </w:numPr>
        <w:ind w:firstLine="640"/>
        <w:rPr>
          <w:rFonts w:hint="default" w:eastAsia="仿宋_GB2312"/>
          <w:sz w:val="32"/>
          <w:szCs w:val="32"/>
          <w:highlight w:val="none"/>
          <w:lang w:val="en-US" w:eastAsia="zh-CN"/>
        </w:rPr>
      </w:pPr>
      <w:r>
        <w:rPr>
          <w:rFonts w:hint="eastAsia"/>
          <w:sz w:val="32"/>
          <w:szCs w:val="32"/>
          <w:highlight w:val="none"/>
          <w:lang w:eastAsia="zh-CN"/>
        </w:rPr>
        <w:t>以上项目经费待</w:t>
      </w:r>
      <w:r>
        <w:rPr>
          <w:rFonts w:hint="eastAsia"/>
          <w:sz w:val="32"/>
          <w:szCs w:val="32"/>
          <w:highlight w:val="none"/>
          <w:lang w:val="en-US" w:eastAsia="zh-CN"/>
        </w:rPr>
        <w:t>2023年度上级财政衔接推进乡村振兴补助资金安排完后，不足部分由区财政根据区财力情况统筹安排配套资金。</w:t>
      </w:r>
    </w:p>
    <w:p>
      <w:pPr>
        <w:pStyle w:val="3"/>
        <w:numPr>
          <w:numId w:val="0"/>
        </w:numPr>
        <w:spacing w:before="0" w:after="0" w:line="578" w:lineRule="exact"/>
        <w:ind w:firstLine="640" w:firstLineChars="200"/>
        <w:rPr>
          <w:rFonts w:hint="default" w:ascii="Times New Roman" w:hAnsi="Times New Roman" w:cs="Times New Roman"/>
          <w:lang w:val="zh-CN"/>
        </w:rPr>
      </w:pPr>
      <w:r>
        <w:rPr>
          <w:rFonts w:hint="default" w:ascii="Times New Roman" w:hAnsi="Times New Roman" w:cs="Times New Roman"/>
          <w:b w:val="0"/>
          <w:bCs w:val="0"/>
          <w:lang w:val="zh-TW" w:eastAsia="zh-CN"/>
        </w:rPr>
        <w:t>四、</w:t>
      </w:r>
      <w:r>
        <w:rPr>
          <w:rFonts w:hint="default" w:ascii="Times New Roman" w:hAnsi="Times New Roman" w:cs="Times New Roman"/>
          <w:b w:val="0"/>
          <w:bCs w:val="0"/>
          <w:lang w:val="zh-TW"/>
        </w:rPr>
        <w:t>工作要求</w:t>
      </w:r>
    </w:p>
    <w:p>
      <w:pPr>
        <w:spacing w:line="578" w:lineRule="exact"/>
        <w:rPr>
          <w:rFonts w:hint="default" w:ascii="Times New Roman" w:hAnsi="Times New Roman" w:eastAsia="仿宋_GB2312" w:cs="Times New Roman"/>
          <w:sz w:val="32"/>
          <w:szCs w:val="32"/>
        </w:rPr>
      </w:pPr>
      <w:r>
        <w:rPr>
          <w:rFonts w:hint="default" w:ascii="Times New Roman" w:hAnsi="Times New Roman" w:eastAsia="楷体" w:cs="Times New Roman"/>
          <w:b/>
          <w:bCs/>
          <w:sz w:val="32"/>
          <w:szCs w:val="32"/>
        </w:rPr>
        <w:t xml:space="preserve">    </w:t>
      </w:r>
      <w:r>
        <w:rPr>
          <w:rFonts w:hint="default" w:ascii="Times New Roman" w:hAnsi="Times New Roman" w:eastAsia="楷体_GB2312" w:cs="Times New Roman"/>
          <w:sz w:val="32"/>
          <w:szCs w:val="32"/>
        </w:rPr>
        <w:t>（一）加强组织领导。</w:t>
      </w:r>
      <w:r>
        <w:rPr>
          <w:rFonts w:hint="default" w:ascii="Times New Roman" w:hAnsi="Times New Roman" w:eastAsia="仿宋_GB2312" w:cs="Times New Roman"/>
          <w:sz w:val="32"/>
          <w:szCs w:val="32"/>
        </w:rPr>
        <w:t>各相关项目实施单位要高度重视，切实加强领导，统一思想认识，以高度负责的精神抓好</w:t>
      </w:r>
      <w:r>
        <w:rPr>
          <w:rFonts w:hint="default" w:ascii="Times New Roman" w:hAnsi="Times New Roman" w:eastAsia="仿宋_GB2312" w:cs="Times New Roman"/>
          <w:snapToGrid w:val="0"/>
          <w:kern w:val="0"/>
          <w:sz w:val="32"/>
          <w:szCs w:val="32"/>
          <w:lang w:val="zh-TW"/>
        </w:rPr>
        <w:t>财政衔接推进乡村振兴补助资金</w:t>
      </w:r>
      <w:r>
        <w:rPr>
          <w:rFonts w:hint="default" w:ascii="Times New Roman" w:hAnsi="Times New Roman" w:eastAsia="仿宋_GB2312" w:cs="Times New Roman"/>
          <w:sz w:val="32"/>
          <w:szCs w:val="32"/>
        </w:rPr>
        <w:t>使用管理工作，协同推进，切实提高扶贫项目实施效果和资金使用管理绩效，推动均衡发展。项目分管领导和项目负责人要尽职履责，全过程做好项目的规划、筛选、实施、验收监督、管理等工作。</w:t>
      </w:r>
    </w:p>
    <w:p>
      <w:pPr>
        <w:spacing w:line="578" w:lineRule="exact"/>
        <w:rPr>
          <w:rFonts w:hint="default" w:ascii="Times New Roman" w:hAnsi="Times New Roman" w:eastAsia="仿宋_GB2312" w:cs="Times New Roman"/>
          <w:sz w:val="32"/>
          <w:szCs w:val="32"/>
        </w:rPr>
      </w:pPr>
      <w:r>
        <w:rPr>
          <w:rFonts w:hint="default" w:ascii="Times New Roman" w:hAnsi="Times New Roman" w:eastAsia="楷体" w:cs="Times New Roman"/>
          <w:b/>
          <w:bCs/>
          <w:sz w:val="32"/>
          <w:szCs w:val="32"/>
        </w:rPr>
        <w:t xml:space="preserve">    </w:t>
      </w:r>
      <w:r>
        <w:rPr>
          <w:rFonts w:hint="default" w:ascii="Times New Roman" w:hAnsi="Times New Roman" w:eastAsia="楷体_GB2312" w:cs="Times New Roman"/>
          <w:sz w:val="32"/>
          <w:szCs w:val="32"/>
        </w:rPr>
        <w:t>（二）强化资金项目管理。</w:t>
      </w:r>
      <w:r>
        <w:rPr>
          <w:rFonts w:hint="default" w:ascii="Times New Roman" w:hAnsi="Times New Roman" w:eastAsia="仿宋_GB2312" w:cs="Times New Roman"/>
          <w:sz w:val="32"/>
          <w:szCs w:val="32"/>
        </w:rPr>
        <w:t>严格按照《海南省扶贫工作办公室 海南省财政厅关于完善扶贫资金项目公告公示制度实施办法》（琼扶办发〔2018〕184</w:t>
      </w:r>
      <w:r>
        <w:rPr>
          <w:rFonts w:hint="default" w:ascii="Times New Roman" w:hAnsi="Times New Roman" w:eastAsia="仿宋_GB2312" w:cs="Times New Roman"/>
          <w:sz w:val="32"/>
          <w:szCs w:val="32"/>
          <w:lang w:val="zh-TW" w:eastAsia="zh-TW"/>
        </w:rPr>
        <w:t>号</w:t>
      </w:r>
      <w:r>
        <w:rPr>
          <w:rFonts w:hint="default" w:ascii="Times New Roman" w:hAnsi="Times New Roman" w:eastAsia="仿宋_GB2312" w:cs="Times New Roman"/>
          <w:sz w:val="32"/>
          <w:szCs w:val="32"/>
        </w:rPr>
        <w:t>）要求</w:t>
      </w:r>
      <w:r>
        <w:rPr>
          <w:rFonts w:hint="default" w:ascii="Times New Roman" w:hAnsi="Times New Roman" w:eastAsia="仿宋_GB2312" w:cs="Times New Roman"/>
          <w:color w:val="000000"/>
          <w:sz w:val="32"/>
          <w:szCs w:val="32"/>
        </w:rPr>
        <w:t>，全面落</w:t>
      </w:r>
      <w:r>
        <w:rPr>
          <w:rFonts w:hint="default" w:ascii="Times New Roman" w:hAnsi="Times New Roman" w:eastAsia="仿宋_GB2312" w:cs="Times New Roman"/>
          <w:sz w:val="32"/>
          <w:szCs w:val="32"/>
        </w:rPr>
        <w:t>实资金项目公告公示制</w:t>
      </w:r>
      <w:r>
        <w:rPr>
          <w:rFonts w:hint="default" w:ascii="Times New Roman" w:hAnsi="Times New Roman" w:eastAsia="仿宋_GB2312" w:cs="Times New Roman"/>
          <w:color w:val="000000"/>
          <w:sz w:val="32"/>
          <w:szCs w:val="32"/>
        </w:rPr>
        <w:t>度</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sz w:val="32"/>
          <w:szCs w:val="32"/>
          <w:lang w:val="en-US" w:eastAsia="zh-CN"/>
        </w:rPr>
        <w:t>进行区、村和项目现场公告公示，</w:t>
      </w:r>
      <w:r>
        <w:rPr>
          <w:rFonts w:hint="default" w:ascii="Times New Roman" w:hAnsi="Times New Roman" w:eastAsia="仿宋_GB2312" w:cs="Times New Roman"/>
          <w:sz w:val="32"/>
          <w:szCs w:val="32"/>
          <w:lang w:eastAsia="zh-CN"/>
        </w:rPr>
        <w:t>提前做好项目开工工作</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衔接项目实施单位</w:t>
      </w:r>
      <w:r>
        <w:rPr>
          <w:rFonts w:hint="default" w:ascii="Times New Roman" w:hAnsi="Times New Roman" w:eastAsia="仿宋_GB2312" w:cs="Times New Roman"/>
          <w:sz w:val="32"/>
          <w:szCs w:val="32"/>
        </w:rPr>
        <w:t>要及时</w:t>
      </w:r>
      <w:r>
        <w:rPr>
          <w:rFonts w:hint="default" w:ascii="Times New Roman" w:hAnsi="Times New Roman" w:eastAsia="仿宋_GB2312" w:cs="Times New Roman"/>
          <w:sz w:val="32"/>
          <w:szCs w:val="32"/>
          <w:lang w:eastAsia="zh-CN"/>
        </w:rPr>
        <w:t>编制项目实施方案，</w:t>
      </w:r>
      <w:r>
        <w:rPr>
          <w:rFonts w:hint="default" w:ascii="Times New Roman" w:hAnsi="Times New Roman" w:eastAsia="仿宋_GB2312" w:cs="Times New Roman"/>
          <w:sz w:val="32"/>
          <w:szCs w:val="32"/>
        </w:rPr>
        <w:t>对项目实施的各个环节资料要及时收集，做好项目档案的归档管理工作，确保项目归档资料能准确地反映项目建设的全过程。</w:t>
      </w:r>
    </w:p>
    <w:p>
      <w:pPr>
        <w:spacing w:line="578" w:lineRule="exact"/>
        <w:rPr>
          <w:rFonts w:hint="default" w:ascii="Times New Roman" w:hAnsi="Times New Roman" w:eastAsia="仿宋_GB2312" w:cs="Times New Roman"/>
          <w:color w:val="000000"/>
          <w:sz w:val="32"/>
          <w:szCs w:val="32"/>
        </w:rPr>
      </w:pPr>
      <w:r>
        <w:rPr>
          <w:rFonts w:hint="default" w:ascii="Times New Roman" w:hAnsi="Times New Roman" w:eastAsia="楷体_GB2312" w:cs="Times New Roman"/>
          <w:color w:val="000000"/>
          <w:sz w:val="32"/>
        </w:rPr>
        <w:t xml:space="preserve">    （三）</w:t>
      </w:r>
      <w:r>
        <w:rPr>
          <w:rFonts w:hint="default" w:ascii="Times New Roman" w:hAnsi="Times New Roman" w:eastAsia="楷体_GB2312" w:cs="Times New Roman"/>
          <w:color w:val="000000"/>
          <w:sz w:val="32"/>
          <w:lang w:val="zh-CN"/>
        </w:rPr>
        <w:t>落实绩效管理工作</w:t>
      </w:r>
      <w:r>
        <w:rPr>
          <w:rFonts w:hint="default" w:ascii="Times New Roman" w:hAnsi="Times New Roman" w:eastAsia="楷体_GB2312" w:cs="Times New Roman"/>
          <w:sz w:val="32"/>
          <w:szCs w:val="32"/>
        </w:rPr>
        <w:t>。</w:t>
      </w:r>
      <w:r>
        <w:rPr>
          <w:rFonts w:hint="default" w:ascii="Times New Roman" w:hAnsi="Times New Roman" w:eastAsia="仿宋_GB2312" w:cs="Times New Roman"/>
          <w:color w:val="000000"/>
          <w:sz w:val="32"/>
          <w:lang w:val="zh-CN"/>
        </w:rPr>
        <w:t>严禁将财政衔接推进乡村振兴补助资金用于巩固拓展脱贫攻坚成果和推进乡村产业振兴无关的项目，没有绩效目标或绩效目标不明确的项目不得安排财政衔接推进乡村振兴补助资金。对项目资金实施全过程绩效管理，科学设置绩效目标，做好绩效运行监控和绩效评价。</w:t>
      </w:r>
      <w:r>
        <w:rPr>
          <w:rFonts w:hint="default" w:ascii="Times New Roman" w:hAnsi="Times New Roman" w:eastAsia="仿宋_GB2312" w:cs="Times New Roman"/>
          <w:color w:val="000000"/>
          <w:sz w:val="32"/>
        </w:rPr>
        <w:t>严格执行资金支出通报制度，加强资金监管，</w:t>
      </w:r>
      <w:r>
        <w:rPr>
          <w:rFonts w:hint="default" w:ascii="Times New Roman" w:hAnsi="Times New Roman" w:eastAsia="仿宋_GB2312" w:cs="Times New Roman"/>
          <w:color w:val="000000"/>
          <w:sz w:val="32"/>
          <w:szCs w:val="32"/>
        </w:rPr>
        <w:t>提高资金使用效益，</w:t>
      </w:r>
      <w:r>
        <w:rPr>
          <w:rFonts w:hint="default" w:ascii="Times New Roman" w:hAnsi="Times New Roman" w:eastAsia="仿宋_GB2312" w:cs="Times New Roman"/>
          <w:color w:val="000000"/>
          <w:sz w:val="32"/>
        </w:rPr>
        <w:t>确保资金使用规范、安全高效</w:t>
      </w:r>
      <w:r>
        <w:rPr>
          <w:rFonts w:hint="default" w:ascii="Times New Roman" w:hAnsi="Times New Roman" w:eastAsia="仿宋_GB2312" w:cs="Times New Roman"/>
          <w:color w:val="000000"/>
          <w:sz w:val="32"/>
          <w:szCs w:val="32"/>
        </w:rPr>
        <w:t>。</w:t>
      </w:r>
    </w:p>
    <w:p>
      <w:pPr>
        <w:spacing w:line="578" w:lineRule="exact"/>
        <w:rPr>
          <w:rFonts w:hint="default" w:ascii="Times New Roman" w:hAnsi="Times New Roman" w:eastAsia="仿宋_GB2312" w:cs="Times New Roman"/>
          <w:sz w:val="32"/>
          <w:szCs w:val="32"/>
        </w:rPr>
      </w:pPr>
    </w:p>
    <w:p>
      <w:pPr>
        <w:spacing w:line="578" w:lineRule="exact"/>
        <w:ind w:left="1598" w:leftChars="304" w:hanging="960" w:hangingChars="3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附件：三亚市天涯区2023年</w:t>
      </w:r>
      <w:bookmarkStart w:id="0" w:name="_GoBack"/>
      <w:bookmarkEnd w:id="0"/>
      <w:r>
        <w:rPr>
          <w:rFonts w:hint="default" w:ascii="Times New Roman" w:hAnsi="Times New Roman" w:eastAsia="仿宋_GB2312" w:cs="Times New Roman"/>
          <w:sz w:val="32"/>
          <w:szCs w:val="32"/>
        </w:rPr>
        <w:t>第二批</w:t>
      </w:r>
      <w:r>
        <w:rPr>
          <w:rFonts w:hint="eastAsia" w:eastAsia="仿宋_GB2312" w:cs="Times New Roman"/>
          <w:sz w:val="32"/>
          <w:szCs w:val="32"/>
          <w:lang w:eastAsia="zh-CN"/>
        </w:rPr>
        <w:t>省级</w:t>
      </w:r>
      <w:r>
        <w:rPr>
          <w:rFonts w:hint="default" w:ascii="Times New Roman" w:hAnsi="Times New Roman" w:eastAsia="仿宋_GB2312" w:cs="Times New Roman"/>
          <w:sz w:val="32"/>
          <w:szCs w:val="32"/>
        </w:rPr>
        <w:t>财政衔接资金安排</w:t>
      </w:r>
      <w:r>
        <w:rPr>
          <w:rFonts w:hint="default" w:ascii="Times New Roman" w:hAnsi="Times New Roman" w:eastAsia="仿宋_GB2312" w:cs="Times New Roman"/>
          <w:sz w:val="32"/>
          <w:szCs w:val="32"/>
          <w:lang w:eastAsia="zh-CN"/>
        </w:rPr>
        <w:t>及</w:t>
      </w:r>
      <w:r>
        <w:rPr>
          <w:rFonts w:hint="default" w:ascii="Times New Roman" w:hAnsi="Times New Roman" w:eastAsia="仿宋_GB2312" w:cs="Times New Roman"/>
          <w:sz w:val="32"/>
          <w:szCs w:val="32"/>
        </w:rPr>
        <w:t>提前批</w:t>
      </w:r>
      <w:r>
        <w:rPr>
          <w:rFonts w:hint="eastAsia" w:eastAsia="仿宋_GB2312" w:cs="Times New Roman"/>
          <w:sz w:val="32"/>
          <w:szCs w:val="32"/>
          <w:lang w:eastAsia="zh-CN"/>
        </w:rPr>
        <w:t>中央</w:t>
      </w:r>
      <w:r>
        <w:rPr>
          <w:rFonts w:hint="default" w:ascii="Times New Roman" w:hAnsi="Times New Roman" w:eastAsia="仿宋_GB2312" w:cs="Times New Roman"/>
          <w:sz w:val="32"/>
          <w:szCs w:val="32"/>
        </w:rPr>
        <w:t>和市级财政衔接资金调整表</w:t>
      </w:r>
    </w:p>
    <w:p>
      <w:pPr>
        <w:spacing w:line="578" w:lineRule="exact"/>
        <w:rPr>
          <w:rFonts w:hint="default" w:ascii="Times New Roman" w:hAnsi="Times New Roman" w:eastAsia="仿宋_GB2312" w:cs="Times New Roman"/>
          <w:sz w:val="32"/>
          <w:szCs w:val="32"/>
        </w:rPr>
      </w:pPr>
    </w:p>
    <w:p>
      <w:pPr>
        <w:spacing w:line="578" w:lineRule="exact"/>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pStyle w:val="4"/>
        <w:rPr>
          <w:rFonts w:hint="default" w:ascii="Times New Roman" w:hAnsi="Times New Roman" w:cs="Times New Roman"/>
        </w:rPr>
      </w:pPr>
    </w:p>
    <w:p>
      <w:pPr>
        <w:pStyle w:val="4"/>
        <w:rPr>
          <w:rFonts w:hint="default" w:ascii="Times New Roman" w:hAnsi="Times New Roman" w:cs="Times New Roman"/>
        </w:rPr>
      </w:pPr>
    </w:p>
    <w:p>
      <w:pPr>
        <w:pStyle w:val="4"/>
        <w:rPr>
          <w:rFonts w:hint="default" w:ascii="Times New Roman" w:hAnsi="Times New Roman" w:cs="Times New Roman"/>
        </w:rPr>
      </w:pPr>
    </w:p>
    <w:p>
      <w:pPr>
        <w:pStyle w:val="4"/>
        <w:rPr>
          <w:rFonts w:hint="default" w:ascii="Times New Roman" w:hAnsi="Times New Roman" w:cs="Times New Roman"/>
        </w:rPr>
      </w:pPr>
    </w:p>
    <w:p>
      <w:pPr>
        <w:pStyle w:val="4"/>
        <w:rPr>
          <w:rFonts w:hint="default" w:ascii="Times New Roman" w:hAnsi="Times New Roman" w:cs="Times New Roman"/>
        </w:rPr>
      </w:pPr>
    </w:p>
    <w:p>
      <w:pPr>
        <w:pStyle w:val="4"/>
        <w:rPr>
          <w:rFonts w:hint="default" w:ascii="Times New Roman" w:hAnsi="Times New Roman" w:cs="Times New Roman"/>
        </w:rPr>
      </w:pPr>
    </w:p>
    <w:tbl>
      <w:tblPr>
        <w:tblStyle w:val="9"/>
        <w:tblpPr w:leftFromText="180" w:rightFromText="180" w:vertAnchor="text" w:horzAnchor="page" w:tblpX="1030" w:tblpY="81"/>
        <w:tblOverlap w:val="never"/>
        <w:tblW w:w="1002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02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PrEx>
        <w:trPr>
          <w:trHeight w:val="540" w:hRule="atLeast"/>
        </w:trPr>
        <w:tc>
          <w:tcPr>
            <w:tcW w:w="10020" w:type="dxa"/>
            <w:vAlign w:val="top"/>
          </w:tcPr>
          <w:p>
            <w:pPr>
              <w:widowControl w:val="0"/>
              <w:tabs>
                <w:tab w:val="left" w:pos="6398"/>
              </w:tabs>
              <w:wordWrap/>
              <w:adjustRightInd/>
              <w:snapToGrid/>
              <w:spacing w:line="578" w:lineRule="exact"/>
              <w:ind w:right="0"/>
              <w:jc w:val="left"/>
              <w:textAlignment w:val="auto"/>
              <w:rPr>
                <w:rFonts w:hint="default" w:ascii="Times New Roman" w:hAnsi="Times New Roman" w:cs="Times New Roman"/>
                <w:sz w:val="28"/>
                <w:szCs w:val="28"/>
                <w:lang w:eastAsia="zh-CN"/>
              </w:rPr>
            </w:pPr>
            <w:r>
              <w:rPr>
                <w:rFonts w:hint="default" w:ascii="Times New Roman" w:hAnsi="Times New Roman" w:eastAsia="仿宋_GB2312" w:cs="Times New Roman"/>
                <w:sz w:val="28"/>
                <w:szCs w:val="28"/>
                <w:lang w:val="en-US" w:eastAsia="zh-CN"/>
              </w:rPr>
              <w:t>中共三亚市天涯区委实施乡村振兴战略领导小组办公室　2023年</w:t>
            </w:r>
            <w:r>
              <w:rPr>
                <w:rFonts w:hint="eastAsia" w:eastAsia="仿宋_GB2312" w:cs="Times New Roman"/>
                <w:sz w:val="28"/>
                <w:szCs w:val="28"/>
                <w:lang w:val="en-US" w:eastAsia="zh-CN"/>
              </w:rPr>
              <w:t>7</w:t>
            </w:r>
            <w:r>
              <w:rPr>
                <w:rFonts w:hint="default" w:ascii="Times New Roman" w:hAnsi="Times New Roman" w:eastAsia="仿宋_GB2312" w:cs="Times New Roman"/>
                <w:sz w:val="28"/>
                <w:szCs w:val="28"/>
                <w:lang w:val="en-US" w:eastAsia="zh-CN"/>
              </w:rPr>
              <w:t>月日印发</w:t>
            </w:r>
          </w:p>
        </w:tc>
      </w:tr>
    </w:tbl>
    <w:p>
      <w:pPr>
        <w:pStyle w:val="4"/>
        <w:rPr>
          <w:rFonts w:hint="default" w:ascii="Times New Roman" w:hAnsi="Times New Roman" w:cs="Times New Roman"/>
        </w:rPr>
      </w:pPr>
    </w:p>
    <w:sectPr>
      <w:headerReference r:id="rId4" w:type="default"/>
      <w:footerReference r:id="rId6" w:type="default"/>
      <w:headerReference r:id="rId5" w:type="even"/>
      <w:footerReference r:id="rId7" w:type="even"/>
      <w:pgSz w:w="11906" w:h="16838"/>
      <w:pgMar w:top="2098" w:right="1474" w:bottom="1985" w:left="1588" w:header="851"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
      <w:rPr>
        <w:rFonts w:ascii="Times New Roman" w:hAnsi="Times New Roman" w:eastAsia="宋体" w:cs="Times New Roman"/>
        <w:kern w:val="2"/>
        <w:sz w:val="21"/>
        <w:szCs w:val="22"/>
        <w:lang w:val="en-US" w:eastAsia="zh-CN" w:bidi="ar-SA"/>
      </w:rPr>
      <w:pict>
        <v:rect id="文本框 2" o:spid="_x0000_s1025" style="position:absolute;left:0;margin-top:0pt;height:144pt;width:144pt;mso-position-horizontal:outside;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ascii="宋体" w:hAnsi="宋体" w:cs="宋体"/>
                    <w:sz w:val="32"/>
                    <w:szCs w:val="32"/>
                  </w:rPr>
                </w:pPr>
                <w:r>
                  <w:rPr>
                    <w:rFonts w:hint="eastAsia" w:ascii="宋体" w:hAnsi="宋体" w:cs="宋体"/>
                    <w:sz w:val="32"/>
                    <w:szCs w:val="32"/>
                  </w:rPr>
                  <w:t xml:space="preserve">— </w:t>
                </w:r>
                <w:r>
                  <w:rPr>
                    <w:rFonts w:hint="eastAsia" w:ascii="宋体" w:hAnsi="宋体" w:cs="宋体"/>
                    <w:sz w:val="32"/>
                    <w:szCs w:val="32"/>
                  </w:rPr>
                  <w:fldChar w:fldCharType="begin"/>
                </w:r>
                <w:r>
                  <w:rPr>
                    <w:rFonts w:hint="eastAsia" w:ascii="宋体" w:hAnsi="宋体" w:cs="宋体"/>
                    <w:sz w:val="32"/>
                    <w:szCs w:val="32"/>
                  </w:rPr>
                  <w:instrText xml:space="preserve"> PAGE  \* MERGEFORMAT </w:instrText>
                </w:r>
                <w:r>
                  <w:rPr>
                    <w:rFonts w:hint="eastAsia" w:ascii="宋体" w:hAnsi="宋体" w:cs="宋体"/>
                    <w:sz w:val="32"/>
                    <w:szCs w:val="32"/>
                  </w:rPr>
                  <w:fldChar w:fldCharType="separate"/>
                </w:r>
                <w:r>
                  <w:t>1</w:t>
                </w:r>
                <w:r>
                  <w:rPr>
                    <w:rFonts w:hint="eastAsia" w:ascii="宋体" w:hAnsi="宋体" w:cs="宋体"/>
                    <w:sz w:val="32"/>
                    <w:szCs w:val="32"/>
                  </w:rPr>
                  <w:fldChar w:fldCharType="end"/>
                </w:r>
                <w:r>
                  <w:rPr>
                    <w:rFonts w:hint="eastAsia" w:ascii="宋体" w:hAnsi="宋体" w:cs="宋体"/>
                    <w:sz w:val="32"/>
                    <w:szCs w:val="32"/>
                  </w:rPr>
                  <w:t xml:space="preserve"> —</w:t>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tabs>
        <w:tab w:val="clear" w:pos="4153"/>
        <w:tab w:val="clear" w:pos="8306"/>
      </w:tabs>
      <w:ind w:right="360" w:firstLine="360"/>
    </w:pPr>
    <w:r>
      <w:rPr>
        <w:rFonts w:ascii="Times New Roman" w:hAnsi="Times New Roman" w:eastAsia="宋体" w:cs="Times New Roman"/>
        <w:kern w:val="2"/>
        <w:sz w:val="18"/>
        <w:szCs w:val="22"/>
        <w:lang w:val="en-US" w:eastAsia="zh-CN" w:bidi="ar-SA"/>
      </w:rPr>
      <w:pict>
        <v:rect id="文本框 1" o:spid="_x0000_s1026" style="position:absolute;left:0;margin-top:0pt;height:11pt;width:4.55pt;mso-position-horizontal:outside;mso-position-horizontal-relative:margin;mso-wrap-style:none;rotation:0f;z-index:251659264;"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ascii="宋体" w:hAnsi="宋体" w:cs="宋体"/>
                    <w:sz w:val="32"/>
                    <w:szCs w:val="32"/>
                  </w:rPr>
                </w:pPr>
                <w:r>
                  <w:rPr>
                    <w:rFonts w:hint="eastAsia" w:ascii="宋体" w:hAnsi="宋体" w:cs="宋体"/>
                    <w:sz w:val="32"/>
                    <w:szCs w:val="32"/>
                  </w:rPr>
                  <w:t xml:space="preserve">— </w:t>
                </w:r>
                <w:r>
                  <w:rPr>
                    <w:rFonts w:hint="eastAsia" w:ascii="宋体" w:hAnsi="宋体" w:cs="宋体"/>
                    <w:sz w:val="32"/>
                    <w:szCs w:val="32"/>
                  </w:rPr>
                  <w:fldChar w:fldCharType="begin"/>
                </w:r>
                <w:r>
                  <w:rPr>
                    <w:rFonts w:hint="eastAsia" w:ascii="宋体" w:hAnsi="宋体" w:cs="宋体"/>
                    <w:sz w:val="32"/>
                    <w:szCs w:val="32"/>
                  </w:rPr>
                  <w:instrText xml:space="preserve"> PAGE  \* MERGEFORMAT </w:instrText>
                </w:r>
                <w:r>
                  <w:rPr>
                    <w:rFonts w:hint="eastAsia" w:ascii="宋体" w:hAnsi="宋体" w:cs="宋体"/>
                    <w:sz w:val="32"/>
                    <w:szCs w:val="32"/>
                  </w:rPr>
                  <w:fldChar w:fldCharType="separate"/>
                </w:r>
                <w:r>
                  <w:t>2</w:t>
                </w:r>
                <w:r>
                  <w:rPr>
                    <w:rFonts w:hint="eastAsia" w:ascii="宋体" w:hAnsi="宋体" w:cs="宋体"/>
                    <w:sz w:val="32"/>
                    <w:szCs w:val="32"/>
                  </w:rPr>
                  <w:fldChar w:fldCharType="end"/>
                </w:r>
                <w:r>
                  <w:rPr>
                    <w:rFonts w:hint="eastAsia" w:ascii="宋体" w:hAnsi="宋体" w:cs="宋体"/>
                    <w:sz w:val="32"/>
                    <w:szCs w:val="32"/>
                  </w:rPr>
                  <w:t xml:space="preserve"> —</w:t>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Bdr>
        <w:bottom w:val="none" w:color="auto" w:sz="0" w:space="0"/>
      </w:pBdr>
      <w:tabs>
        <w:tab w:val="clear" w:pos="4153"/>
        <w:tab w:val="clear" w:pos="8306"/>
      </w:tabs>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Bdr>
        <w:bottom w:val="none" w:color="auto" w:sz="0" w:space="0"/>
      </w:pBd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232868833">
    <w:nsid w:val="8516DFE1"/>
    <w:multiLevelType w:val="singleLevel"/>
    <w:tmpl w:val="8516DFE1"/>
    <w:lvl w:ilvl="0" w:tentative="1">
      <w:start w:val="2"/>
      <w:numFmt w:val="chineseCounting"/>
      <w:suff w:val="nothing"/>
      <w:lvlText w:val="（%1）"/>
      <w:lvlJc w:val="left"/>
      <w:rPr>
        <w:rFonts w:hint="eastAsia"/>
      </w:rPr>
    </w:lvl>
  </w:abstractNum>
  <w:num w:numId="1">
    <w:abstractNumId w:val="22328688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14AA792C"/>
    <w:rsid w:val="01C30985"/>
    <w:rsid w:val="09E723B5"/>
    <w:rsid w:val="140B2016"/>
    <w:rsid w:val="14AA792C"/>
    <w:rsid w:val="1B915223"/>
    <w:rsid w:val="2EE2539A"/>
    <w:rsid w:val="30AE2BFD"/>
    <w:rsid w:val="3443524F"/>
    <w:rsid w:val="368A046D"/>
    <w:rsid w:val="468B2984"/>
    <w:rsid w:val="4A782742"/>
    <w:rsid w:val="4C1D559E"/>
    <w:rsid w:val="4F7264B8"/>
    <w:rsid w:val="53735BEF"/>
    <w:rsid w:val="5543698C"/>
    <w:rsid w:val="5B5402D2"/>
    <w:rsid w:val="5B923480"/>
    <w:rsid w:val="63857ED2"/>
    <w:rsid w:val="642E7FA2"/>
    <w:rsid w:val="67BAE8E8"/>
    <w:rsid w:val="6BBC42B5"/>
    <w:rsid w:val="6ECA7199"/>
    <w:rsid w:val="7CDD49D5"/>
    <w:rsid w:val="7CEBF974"/>
    <w:rsid w:val="7FB20401"/>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8">
    <w:name w:val="Normal Table"/>
    <w:semiHidden/>
    <w:qFormat/>
    <w:uiPriority w:val="0"/>
    <w:tblPr>
      <w:tblStyle w:val="8"/>
      <w:tblLayout w:type="fixed"/>
      <w:tblCellMar>
        <w:top w:w="0" w:type="dxa"/>
        <w:left w:w="108" w:type="dxa"/>
        <w:bottom w:w="0" w:type="dxa"/>
        <w:right w:w="108" w:type="dxa"/>
      </w:tblCellMar>
    </w:tblPr>
    <w:tcPr>
      <w:textDirection w:val="lrTb"/>
    </w:tcPr>
  </w:style>
  <w:style w:type="paragraph" w:styleId="2">
    <w:name w:val="Normal Indent"/>
    <w:basedOn w:val="1"/>
    <w:qFormat/>
    <w:uiPriority w:val="0"/>
    <w:pPr>
      <w:ind w:firstLine="420"/>
    </w:pPr>
    <w:rPr>
      <w:rFonts w:eastAsia="仿宋_GB2312"/>
      <w:sz w:val="32"/>
    </w:rPr>
  </w:style>
  <w:style w:type="paragraph" w:styleId="4">
    <w:name w:val="Body Text"/>
    <w:basedOn w:val="1"/>
    <w:unhideWhenUsed/>
    <w:qFormat/>
    <w:uiPriority w:val="99"/>
    <w:pPr>
      <w:spacing w:after="120" w:afterLines="0" w:afterAutospacing="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table" w:styleId="9">
    <w:name w:val="Table Grid"/>
    <w:basedOn w:val="8"/>
    <w:qFormat/>
    <w:uiPriority w:val="59"/>
    <w:pPr>
      <w:widowControl w:val="0"/>
      <w:jc w:val="both"/>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0" Type="http://schemas.openxmlformats.org/officeDocument/2006/relationships/numbering" Target="numbering.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2022-02-22T16:00:00Z</dcterms:created>
  <dc:creator>高培</dc:creator>
  <cp:lastModifiedBy>蒲小敏</cp:lastModifiedBy>
  <cp:lastPrinted>2023-06-19T09:01:00Z</cp:lastPrinted>
  <dcterms:modified xsi:type="dcterms:W3CDTF">2023-07-14T09:05:56Z</dcterms:modified>
  <dc:title>三亚市天涯区2023年财政衔接推进乡村振兴补助资金（提前批）安排方案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